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A3" w:rsidRPr="00686F01" w:rsidRDefault="006520A3" w:rsidP="006520A3">
      <w:pPr>
        <w:ind w:left="990" w:right="1170"/>
        <w:jc w:val="center"/>
        <w:rPr>
          <w:rFonts w:ascii="Times New Roman" w:hAnsi="Times New Roman" w:cs="Times New Roman"/>
          <w:b/>
          <w:sz w:val="30"/>
        </w:rPr>
      </w:pPr>
      <w:r w:rsidRPr="00401279">
        <w:rPr>
          <w:rFonts w:ascii="Times New Roman" w:hAnsi="Times New Roman" w:cs="Times New Roman"/>
          <w:b/>
          <w:sz w:val="30"/>
        </w:rPr>
        <w:t>State wise yield gap between FLD yield and state av</w:t>
      </w:r>
      <w:r>
        <w:rPr>
          <w:rFonts w:ascii="Times New Roman" w:hAnsi="Times New Roman" w:cs="Times New Roman"/>
          <w:b/>
          <w:sz w:val="30"/>
        </w:rPr>
        <w:t>erage</w:t>
      </w:r>
      <w:r w:rsidRPr="00401279">
        <w:rPr>
          <w:rFonts w:ascii="Times New Roman" w:hAnsi="Times New Roman" w:cs="Times New Roman"/>
          <w:b/>
          <w:sz w:val="30"/>
        </w:rPr>
        <w:t xml:space="preserve"> yield of Rapeseed-mustard</w:t>
      </w:r>
    </w:p>
    <w:p w:rsidR="006520A3" w:rsidRPr="0073261C" w:rsidRDefault="006520A3" w:rsidP="006520A3">
      <w:pPr>
        <w:ind w:left="990" w:right="1170" w:firstLine="1080"/>
        <w:jc w:val="both"/>
        <w:rPr>
          <w:rFonts w:ascii="Times New Roman" w:hAnsi="Times New Roman" w:cs="Times New Roman"/>
          <w:sz w:val="26"/>
        </w:rPr>
      </w:pPr>
      <w:r>
        <w:rPr>
          <w:rFonts w:ascii="Times New Roman" w:hAnsi="Times New Roman" w:cs="Times New Roman"/>
          <w:sz w:val="26"/>
        </w:rPr>
        <w:t>Fi</w:t>
      </w:r>
      <w:r w:rsidRPr="0073261C">
        <w:rPr>
          <w:rFonts w:ascii="Times New Roman" w:hAnsi="Times New Roman" w:cs="Times New Roman"/>
          <w:sz w:val="26"/>
        </w:rPr>
        <w:t>e</w:t>
      </w:r>
      <w:r>
        <w:rPr>
          <w:rFonts w:ascii="Times New Roman" w:hAnsi="Times New Roman" w:cs="Times New Roman"/>
          <w:sz w:val="26"/>
        </w:rPr>
        <w:t>l</w:t>
      </w:r>
      <w:r w:rsidRPr="0073261C">
        <w:rPr>
          <w:rFonts w:ascii="Times New Roman" w:hAnsi="Times New Roman" w:cs="Times New Roman"/>
          <w:sz w:val="26"/>
        </w:rPr>
        <w:t>d demonstrations on improved technologies conducted u</w:t>
      </w:r>
      <w:r>
        <w:rPr>
          <w:rFonts w:ascii="Times New Roman" w:hAnsi="Times New Roman" w:cs="Times New Roman"/>
          <w:sz w:val="26"/>
        </w:rPr>
        <w:t>nder the direct supervision of s</w:t>
      </w:r>
      <w:r w:rsidRPr="0073261C">
        <w:rPr>
          <w:rFonts w:ascii="Times New Roman" w:hAnsi="Times New Roman" w:cs="Times New Roman"/>
          <w:sz w:val="26"/>
        </w:rPr>
        <w:t>cient</w:t>
      </w:r>
      <w:r>
        <w:rPr>
          <w:rFonts w:ascii="Times New Roman" w:hAnsi="Times New Roman" w:cs="Times New Roman"/>
          <w:sz w:val="26"/>
        </w:rPr>
        <w:t>ists of the National Agricultural</w:t>
      </w:r>
      <w:r w:rsidRPr="0073261C">
        <w:rPr>
          <w:rFonts w:ascii="Times New Roman" w:hAnsi="Times New Roman" w:cs="Times New Roman"/>
          <w:sz w:val="26"/>
        </w:rPr>
        <w:t xml:space="preserve"> Research System (NARS) are known as Front Line Demonstrations (FLDs) as the technologies are demonstrated for the first time by the </w:t>
      </w:r>
      <w:r>
        <w:rPr>
          <w:rFonts w:ascii="Times New Roman" w:hAnsi="Times New Roman" w:cs="Times New Roman"/>
          <w:sz w:val="26"/>
        </w:rPr>
        <w:t>s</w:t>
      </w:r>
      <w:r w:rsidRPr="0073261C">
        <w:rPr>
          <w:rFonts w:ascii="Times New Roman" w:hAnsi="Times New Roman" w:cs="Times New Roman"/>
          <w:sz w:val="26"/>
        </w:rPr>
        <w:t xml:space="preserve">cientists before being introduced into the extension system of the State Department of Agriculture. The main objective of the Front Line Demonstrations is to demonstrate newly released varieties and their improved management practices including crop production and protection </w:t>
      </w:r>
      <w:r>
        <w:rPr>
          <w:rFonts w:ascii="Times New Roman" w:hAnsi="Times New Roman" w:cs="Times New Roman"/>
          <w:sz w:val="26"/>
        </w:rPr>
        <w:t>technologies in the farmers’ fiel</w:t>
      </w:r>
      <w:r w:rsidRPr="0073261C">
        <w:rPr>
          <w:rFonts w:ascii="Times New Roman" w:hAnsi="Times New Roman" w:cs="Times New Roman"/>
          <w:sz w:val="26"/>
        </w:rPr>
        <w:t>d</w:t>
      </w:r>
      <w:r>
        <w:rPr>
          <w:rFonts w:ascii="Times New Roman" w:hAnsi="Times New Roman" w:cs="Times New Roman"/>
          <w:sz w:val="26"/>
        </w:rPr>
        <w:t>s</w:t>
      </w:r>
      <w:r w:rsidRPr="0073261C">
        <w:rPr>
          <w:rFonts w:ascii="Times New Roman" w:hAnsi="Times New Roman" w:cs="Times New Roman"/>
          <w:sz w:val="26"/>
        </w:rPr>
        <w:t xml:space="preserve"> under different agro-climatic regions and farming situations. While demonstrating the technologies in the farmers’ field</w:t>
      </w:r>
      <w:r>
        <w:rPr>
          <w:rFonts w:ascii="Times New Roman" w:hAnsi="Times New Roman" w:cs="Times New Roman"/>
          <w:sz w:val="26"/>
        </w:rPr>
        <w:t>s</w:t>
      </w:r>
      <w:r w:rsidRPr="0073261C">
        <w:rPr>
          <w:rFonts w:ascii="Times New Roman" w:hAnsi="Times New Roman" w:cs="Times New Roman"/>
          <w:sz w:val="26"/>
        </w:rPr>
        <w:t>, the scientists are required to study the factors contributing towards higher crop production, fi</w:t>
      </w:r>
      <w:r>
        <w:rPr>
          <w:rFonts w:ascii="Times New Roman" w:hAnsi="Times New Roman" w:cs="Times New Roman"/>
          <w:sz w:val="26"/>
        </w:rPr>
        <w:t>el</w:t>
      </w:r>
      <w:r w:rsidRPr="0073261C">
        <w:rPr>
          <w:rFonts w:ascii="Times New Roman" w:hAnsi="Times New Roman" w:cs="Times New Roman"/>
          <w:sz w:val="26"/>
        </w:rPr>
        <w:t xml:space="preserve">d constraints </w:t>
      </w:r>
      <w:r>
        <w:rPr>
          <w:rFonts w:ascii="Times New Roman" w:hAnsi="Times New Roman" w:cs="Times New Roman"/>
          <w:sz w:val="26"/>
        </w:rPr>
        <w:t>faced in crop production and there</w:t>
      </w:r>
      <w:r w:rsidRPr="0073261C">
        <w:rPr>
          <w:rFonts w:ascii="Times New Roman" w:hAnsi="Times New Roman" w:cs="Times New Roman"/>
          <w:sz w:val="26"/>
        </w:rPr>
        <w:t>by generate production data and feedback information.</w:t>
      </w:r>
    </w:p>
    <w:p w:rsidR="006520A3" w:rsidRPr="00A206AB" w:rsidRDefault="006520A3" w:rsidP="006520A3">
      <w:pPr>
        <w:ind w:left="990" w:right="1170" w:firstLine="810"/>
        <w:jc w:val="both"/>
        <w:rPr>
          <w:rFonts w:ascii="Times New Roman" w:hAnsi="Times New Roman" w:cs="Times New Roman"/>
          <w:sz w:val="26"/>
        </w:rPr>
      </w:pPr>
      <w:r w:rsidRPr="00A206AB">
        <w:rPr>
          <w:rFonts w:ascii="Times New Roman" w:hAnsi="Times New Roman" w:cs="Times New Roman"/>
          <w:sz w:val="26"/>
        </w:rPr>
        <w:t>F</w:t>
      </w:r>
      <w:r>
        <w:rPr>
          <w:rFonts w:ascii="Times New Roman" w:hAnsi="Times New Roman" w:cs="Times New Roman"/>
          <w:sz w:val="26"/>
        </w:rPr>
        <w:t xml:space="preserve">ront </w:t>
      </w:r>
      <w:r w:rsidRPr="00A206AB">
        <w:rPr>
          <w:rFonts w:ascii="Times New Roman" w:hAnsi="Times New Roman" w:cs="Times New Roman"/>
          <w:sz w:val="26"/>
        </w:rPr>
        <w:t>L</w:t>
      </w:r>
      <w:r>
        <w:rPr>
          <w:rFonts w:ascii="Times New Roman" w:hAnsi="Times New Roman" w:cs="Times New Roman"/>
          <w:sz w:val="26"/>
        </w:rPr>
        <w:t xml:space="preserve">ine </w:t>
      </w:r>
      <w:r w:rsidRPr="00A206AB">
        <w:rPr>
          <w:rFonts w:ascii="Times New Roman" w:hAnsi="Times New Roman" w:cs="Times New Roman"/>
          <w:sz w:val="26"/>
        </w:rPr>
        <w:t>D</w:t>
      </w:r>
      <w:r>
        <w:rPr>
          <w:rFonts w:ascii="Times New Roman" w:hAnsi="Times New Roman" w:cs="Times New Roman"/>
          <w:sz w:val="26"/>
        </w:rPr>
        <w:t xml:space="preserve">emonstrations are </w:t>
      </w:r>
      <w:r w:rsidRPr="00A206AB">
        <w:rPr>
          <w:rFonts w:ascii="Times New Roman" w:hAnsi="Times New Roman" w:cs="Times New Roman"/>
          <w:sz w:val="26"/>
        </w:rPr>
        <w:t xml:space="preserve">conducted </w:t>
      </w:r>
      <w:r>
        <w:rPr>
          <w:rFonts w:ascii="Times New Roman" w:hAnsi="Times New Roman" w:cs="Times New Roman"/>
          <w:sz w:val="26"/>
        </w:rPr>
        <w:t xml:space="preserve">on </w:t>
      </w:r>
      <w:r w:rsidRPr="00A206AB">
        <w:rPr>
          <w:rFonts w:ascii="Times New Roman" w:hAnsi="Times New Roman" w:cs="Times New Roman"/>
          <w:sz w:val="26"/>
        </w:rPr>
        <w:t xml:space="preserve">Indian mustard, </w:t>
      </w:r>
      <w:proofErr w:type="spellStart"/>
      <w:r w:rsidRPr="00A206AB">
        <w:rPr>
          <w:rFonts w:ascii="Times New Roman" w:hAnsi="Times New Roman" w:cs="Times New Roman"/>
          <w:sz w:val="26"/>
        </w:rPr>
        <w:t>toria</w:t>
      </w:r>
      <w:proofErr w:type="spellEnd"/>
      <w:r w:rsidRPr="00A206AB">
        <w:rPr>
          <w:rFonts w:ascii="Times New Roman" w:hAnsi="Times New Roman" w:cs="Times New Roman"/>
          <w:sz w:val="26"/>
        </w:rPr>
        <w:t xml:space="preserve">, brown </w:t>
      </w:r>
      <w:proofErr w:type="spellStart"/>
      <w:r w:rsidRPr="00A206AB">
        <w:rPr>
          <w:rFonts w:ascii="Times New Roman" w:hAnsi="Times New Roman" w:cs="Times New Roman"/>
          <w:sz w:val="26"/>
        </w:rPr>
        <w:t>sarson</w:t>
      </w:r>
      <w:proofErr w:type="spellEnd"/>
      <w:r w:rsidRPr="00A206AB">
        <w:rPr>
          <w:rFonts w:ascii="Times New Roman" w:hAnsi="Times New Roman" w:cs="Times New Roman"/>
          <w:sz w:val="26"/>
        </w:rPr>
        <w:t xml:space="preserve">, yellow </w:t>
      </w:r>
      <w:proofErr w:type="spellStart"/>
      <w:r w:rsidRPr="00A206AB">
        <w:rPr>
          <w:rFonts w:ascii="Times New Roman" w:hAnsi="Times New Roman" w:cs="Times New Roman"/>
          <w:sz w:val="26"/>
        </w:rPr>
        <w:t>sarson</w:t>
      </w:r>
      <w:proofErr w:type="spellEnd"/>
      <w:r>
        <w:rPr>
          <w:rFonts w:ascii="Times New Roman" w:hAnsi="Times New Roman" w:cs="Times New Roman"/>
          <w:sz w:val="26"/>
        </w:rPr>
        <w:t xml:space="preserve">, </w:t>
      </w:r>
      <w:proofErr w:type="spellStart"/>
      <w:r>
        <w:rPr>
          <w:rFonts w:ascii="Times New Roman" w:hAnsi="Times New Roman" w:cs="Times New Roman"/>
          <w:sz w:val="26"/>
        </w:rPr>
        <w:t>gobhi</w:t>
      </w:r>
      <w:proofErr w:type="spellEnd"/>
      <w:r>
        <w:rPr>
          <w:rFonts w:ascii="Times New Roman" w:hAnsi="Times New Roman" w:cs="Times New Roman"/>
          <w:sz w:val="26"/>
        </w:rPr>
        <w:t xml:space="preserve"> </w:t>
      </w:r>
      <w:proofErr w:type="spellStart"/>
      <w:r>
        <w:rPr>
          <w:rFonts w:ascii="Times New Roman" w:hAnsi="Times New Roman" w:cs="Times New Roman"/>
          <w:sz w:val="26"/>
        </w:rPr>
        <w:t>sarson</w:t>
      </w:r>
      <w:proofErr w:type="spellEnd"/>
      <w:r>
        <w:rPr>
          <w:rFonts w:ascii="Times New Roman" w:hAnsi="Times New Roman" w:cs="Times New Roman"/>
          <w:sz w:val="26"/>
        </w:rPr>
        <w:t xml:space="preserve"> and </w:t>
      </w:r>
      <w:proofErr w:type="spellStart"/>
      <w:r>
        <w:rPr>
          <w:rFonts w:ascii="Times New Roman" w:hAnsi="Times New Roman" w:cs="Times New Roman"/>
          <w:sz w:val="26"/>
        </w:rPr>
        <w:t>karan</w:t>
      </w:r>
      <w:proofErr w:type="spellEnd"/>
      <w:r>
        <w:rPr>
          <w:rFonts w:ascii="Times New Roman" w:hAnsi="Times New Roman" w:cs="Times New Roman"/>
          <w:sz w:val="26"/>
        </w:rPr>
        <w:t xml:space="preserve"> </w:t>
      </w:r>
      <w:proofErr w:type="spellStart"/>
      <w:r>
        <w:rPr>
          <w:rFonts w:ascii="Times New Roman" w:hAnsi="Times New Roman" w:cs="Times New Roman"/>
          <w:sz w:val="26"/>
        </w:rPr>
        <w:t>sarson</w:t>
      </w:r>
      <w:proofErr w:type="spellEnd"/>
      <w:r>
        <w:rPr>
          <w:rFonts w:ascii="Times New Roman" w:hAnsi="Times New Roman" w:cs="Times New Roman"/>
          <w:sz w:val="26"/>
        </w:rPr>
        <w:t xml:space="preserve">, collectively known as rapeseed-mustard, under irrigated and rainfed conditions in normal as well as late sown conditions. The results </w:t>
      </w:r>
      <w:r w:rsidRPr="00A206AB">
        <w:rPr>
          <w:rFonts w:ascii="Times New Roman" w:hAnsi="Times New Roman" w:cs="Times New Roman"/>
          <w:sz w:val="26"/>
        </w:rPr>
        <w:t xml:space="preserve">as </w:t>
      </w:r>
      <w:r>
        <w:rPr>
          <w:rFonts w:ascii="Times New Roman" w:hAnsi="Times New Roman" w:cs="Times New Roman"/>
          <w:sz w:val="26"/>
        </w:rPr>
        <w:t xml:space="preserve">compiled and </w:t>
      </w:r>
      <w:r w:rsidRPr="00A206AB">
        <w:rPr>
          <w:rFonts w:ascii="Times New Roman" w:hAnsi="Times New Roman" w:cs="Times New Roman"/>
          <w:sz w:val="26"/>
        </w:rPr>
        <w:t xml:space="preserve">reported by the ICAR-Directorate of Oilseeds Research, Hyderabad conducted at different locations of various rapeseed-mustard growing states </w:t>
      </w:r>
      <w:r>
        <w:rPr>
          <w:rFonts w:ascii="Times New Roman" w:hAnsi="Times New Roman" w:cs="Times New Roman"/>
          <w:sz w:val="26"/>
        </w:rPr>
        <w:t xml:space="preserve">through the crop based institutes of ICAR and SAUs </w:t>
      </w:r>
      <w:r w:rsidRPr="00A206AB">
        <w:rPr>
          <w:rFonts w:ascii="Times New Roman" w:hAnsi="Times New Roman" w:cs="Times New Roman"/>
          <w:sz w:val="26"/>
        </w:rPr>
        <w:t xml:space="preserve">during the quinquennial 2008-09 to 2012-13 </w:t>
      </w:r>
      <w:r>
        <w:rPr>
          <w:rFonts w:ascii="Times New Roman" w:hAnsi="Times New Roman" w:cs="Times New Roman"/>
          <w:sz w:val="26"/>
        </w:rPr>
        <w:t>has been</w:t>
      </w:r>
      <w:r w:rsidRPr="00A206AB">
        <w:rPr>
          <w:rFonts w:ascii="Times New Roman" w:hAnsi="Times New Roman" w:cs="Times New Roman"/>
          <w:sz w:val="26"/>
        </w:rPr>
        <w:t xml:space="preserve"> compared with the stat</w:t>
      </w:r>
      <w:r>
        <w:rPr>
          <w:rFonts w:ascii="Times New Roman" w:hAnsi="Times New Roman" w:cs="Times New Roman"/>
          <w:sz w:val="26"/>
        </w:rPr>
        <w:t xml:space="preserve">e </w:t>
      </w:r>
      <w:r w:rsidRPr="00A44C27">
        <w:rPr>
          <w:rFonts w:ascii="Times New Roman" w:hAnsi="Times New Roman" w:cs="Times New Roman"/>
          <w:sz w:val="30"/>
        </w:rPr>
        <w:t>average</w:t>
      </w:r>
      <w:r>
        <w:rPr>
          <w:rFonts w:ascii="Times New Roman" w:hAnsi="Times New Roman" w:cs="Times New Roman"/>
          <w:sz w:val="26"/>
        </w:rPr>
        <w:t xml:space="preserve"> yield of rapeseed-mustard.  Results of FLDs for the year 2013-14 have not been received yet. FLDs results with whole package technologies under irrigated, normal sown conditions have been included</w:t>
      </w:r>
      <w:r w:rsidRPr="00FC1A05">
        <w:rPr>
          <w:rFonts w:ascii="Times New Roman" w:hAnsi="Times New Roman" w:cs="Times New Roman"/>
          <w:sz w:val="26"/>
        </w:rPr>
        <w:t xml:space="preserve"> </w:t>
      </w:r>
      <w:r>
        <w:rPr>
          <w:rFonts w:ascii="Times New Roman" w:hAnsi="Times New Roman" w:cs="Times New Roman"/>
          <w:sz w:val="26"/>
        </w:rPr>
        <w:t xml:space="preserve">except for Maharashtra and J&amp;K where results of rainfed FLDs have been considered while for Assam and </w:t>
      </w:r>
      <w:proofErr w:type="spellStart"/>
      <w:r>
        <w:rPr>
          <w:rFonts w:ascii="Times New Roman" w:hAnsi="Times New Roman" w:cs="Times New Roman"/>
          <w:sz w:val="26"/>
        </w:rPr>
        <w:t>Uttarakhand</w:t>
      </w:r>
      <w:proofErr w:type="spellEnd"/>
      <w:r>
        <w:rPr>
          <w:rFonts w:ascii="Times New Roman" w:hAnsi="Times New Roman" w:cs="Times New Roman"/>
          <w:sz w:val="26"/>
        </w:rPr>
        <w:t xml:space="preserve"> results on </w:t>
      </w:r>
      <w:proofErr w:type="spellStart"/>
      <w:r>
        <w:rPr>
          <w:rFonts w:ascii="Times New Roman" w:hAnsi="Times New Roman" w:cs="Times New Roman"/>
          <w:sz w:val="26"/>
        </w:rPr>
        <w:t>toria</w:t>
      </w:r>
      <w:proofErr w:type="spellEnd"/>
      <w:r>
        <w:rPr>
          <w:rFonts w:ascii="Times New Roman" w:hAnsi="Times New Roman" w:cs="Times New Roman"/>
          <w:sz w:val="26"/>
        </w:rPr>
        <w:t xml:space="preserve"> have been considered. FLD results from Gujarat and Madhya Pradesh were not available for comparison. </w:t>
      </w:r>
      <w:r w:rsidRPr="00A206AB">
        <w:rPr>
          <w:rFonts w:ascii="Times New Roman" w:hAnsi="Times New Roman" w:cs="Times New Roman"/>
          <w:sz w:val="26"/>
        </w:rPr>
        <w:t xml:space="preserve">State wise </w:t>
      </w:r>
      <w:r w:rsidRPr="00A44C27">
        <w:rPr>
          <w:rFonts w:ascii="Times New Roman" w:hAnsi="Times New Roman" w:cs="Times New Roman"/>
          <w:sz w:val="30"/>
        </w:rPr>
        <w:t>average</w:t>
      </w:r>
      <w:r w:rsidRPr="00A206AB">
        <w:rPr>
          <w:rFonts w:ascii="Times New Roman" w:hAnsi="Times New Roman" w:cs="Times New Roman"/>
          <w:sz w:val="26"/>
        </w:rPr>
        <w:t xml:space="preserve"> area, production and yield of rapeseed-mustard for the quinquennial 2008-09 to 2012-13 as well as the yield of FLDs during the corresponding period is given in </w:t>
      </w:r>
      <w:r w:rsidRPr="005E25ED">
        <w:rPr>
          <w:rFonts w:ascii="Times New Roman" w:hAnsi="Times New Roman" w:cs="Times New Roman"/>
          <w:b/>
          <w:sz w:val="26"/>
        </w:rPr>
        <w:t>Table-1.</w:t>
      </w:r>
    </w:p>
    <w:p w:rsidR="006520A3" w:rsidRPr="001E435F" w:rsidRDefault="006520A3" w:rsidP="006520A3">
      <w:pPr>
        <w:ind w:left="990" w:right="1170" w:firstLine="810"/>
        <w:jc w:val="both"/>
        <w:rPr>
          <w:rFonts w:ascii="Times New Roman" w:hAnsi="Times New Roman" w:cs="Times New Roman"/>
          <w:sz w:val="26"/>
        </w:rPr>
      </w:pPr>
      <w:r w:rsidRPr="001E435F">
        <w:rPr>
          <w:rFonts w:ascii="Times New Roman" w:hAnsi="Times New Roman" w:cs="Times New Roman"/>
          <w:sz w:val="26"/>
        </w:rPr>
        <w:t xml:space="preserve">An analysis of state </w:t>
      </w:r>
      <w:r>
        <w:rPr>
          <w:rFonts w:ascii="Times New Roman" w:hAnsi="Times New Roman" w:cs="Times New Roman"/>
          <w:sz w:val="26"/>
        </w:rPr>
        <w:t>average</w:t>
      </w:r>
      <w:r w:rsidRPr="001E435F">
        <w:rPr>
          <w:rFonts w:ascii="Times New Roman" w:hAnsi="Times New Roman" w:cs="Times New Roman"/>
          <w:sz w:val="26"/>
        </w:rPr>
        <w:t xml:space="preserve"> yield of rapeseed-mustard, </w:t>
      </w:r>
      <w:r>
        <w:rPr>
          <w:rFonts w:ascii="Times New Roman" w:hAnsi="Times New Roman" w:cs="Times New Roman"/>
          <w:sz w:val="26"/>
        </w:rPr>
        <w:t>FLD average</w:t>
      </w:r>
      <w:r w:rsidRPr="001E435F">
        <w:rPr>
          <w:rFonts w:ascii="Times New Roman" w:hAnsi="Times New Roman" w:cs="Times New Roman"/>
          <w:sz w:val="26"/>
        </w:rPr>
        <w:t xml:space="preserve"> yield and yield gap during the quinquennial 2008-09 to 2012-13 reveal</w:t>
      </w:r>
      <w:r>
        <w:rPr>
          <w:rFonts w:ascii="Times New Roman" w:hAnsi="Times New Roman" w:cs="Times New Roman"/>
          <w:sz w:val="26"/>
        </w:rPr>
        <w:t>ed</w:t>
      </w:r>
      <w:r w:rsidRPr="001E435F">
        <w:rPr>
          <w:rFonts w:ascii="Times New Roman" w:hAnsi="Times New Roman" w:cs="Times New Roman"/>
          <w:sz w:val="26"/>
        </w:rPr>
        <w:t xml:space="preserve"> the following:</w:t>
      </w:r>
    </w:p>
    <w:p w:rsidR="006520A3" w:rsidRDefault="006520A3" w:rsidP="006520A3">
      <w:pPr>
        <w:pStyle w:val="ListParagraph"/>
        <w:numPr>
          <w:ilvl w:val="0"/>
          <w:numId w:val="1"/>
        </w:numPr>
        <w:ind w:left="1890" w:right="1170" w:hanging="450"/>
        <w:jc w:val="both"/>
        <w:rPr>
          <w:rFonts w:ascii="Times New Roman" w:hAnsi="Times New Roman" w:cs="Times New Roman"/>
          <w:sz w:val="26"/>
        </w:rPr>
      </w:pPr>
      <w:r>
        <w:rPr>
          <w:rFonts w:ascii="Times New Roman" w:hAnsi="Times New Roman" w:cs="Times New Roman"/>
          <w:sz w:val="26"/>
        </w:rPr>
        <w:t>Average</w:t>
      </w:r>
      <w:r w:rsidRPr="001E435F">
        <w:rPr>
          <w:rFonts w:ascii="Times New Roman" w:hAnsi="Times New Roman" w:cs="Times New Roman"/>
          <w:sz w:val="26"/>
        </w:rPr>
        <w:t xml:space="preserve"> yield of FLDs in rapeseed-mustard in all the states was higher than the </w:t>
      </w:r>
      <w:r>
        <w:rPr>
          <w:rFonts w:ascii="Times New Roman" w:hAnsi="Times New Roman" w:cs="Times New Roman"/>
          <w:sz w:val="26"/>
        </w:rPr>
        <w:t xml:space="preserve">corresponding </w:t>
      </w:r>
      <w:r w:rsidRPr="001E435F">
        <w:rPr>
          <w:rFonts w:ascii="Times New Roman" w:hAnsi="Times New Roman" w:cs="Times New Roman"/>
          <w:sz w:val="26"/>
        </w:rPr>
        <w:t xml:space="preserve">state </w:t>
      </w:r>
      <w:r>
        <w:rPr>
          <w:rFonts w:ascii="Times New Roman" w:hAnsi="Times New Roman" w:cs="Times New Roman"/>
          <w:sz w:val="26"/>
        </w:rPr>
        <w:t>average</w:t>
      </w:r>
      <w:r w:rsidRPr="001E435F">
        <w:rPr>
          <w:rFonts w:ascii="Times New Roman" w:hAnsi="Times New Roman" w:cs="Times New Roman"/>
          <w:sz w:val="26"/>
        </w:rPr>
        <w:t xml:space="preserve"> yield (SAY).</w:t>
      </w:r>
    </w:p>
    <w:p w:rsidR="006520A3" w:rsidRDefault="006520A3" w:rsidP="006520A3">
      <w:pPr>
        <w:pStyle w:val="ListParagraph"/>
        <w:numPr>
          <w:ilvl w:val="0"/>
          <w:numId w:val="1"/>
        </w:numPr>
        <w:ind w:left="1890" w:right="1170" w:hanging="450"/>
        <w:jc w:val="both"/>
        <w:rPr>
          <w:rFonts w:ascii="Times New Roman" w:hAnsi="Times New Roman" w:cs="Times New Roman"/>
          <w:sz w:val="26"/>
        </w:rPr>
      </w:pPr>
      <w:r w:rsidRPr="0047535B">
        <w:rPr>
          <w:rFonts w:ascii="Times New Roman" w:hAnsi="Times New Roman" w:cs="Times New Roman"/>
          <w:sz w:val="26"/>
        </w:rPr>
        <w:t xml:space="preserve">The state </w:t>
      </w:r>
      <w:r>
        <w:rPr>
          <w:rFonts w:ascii="Times New Roman" w:hAnsi="Times New Roman" w:cs="Times New Roman"/>
          <w:sz w:val="26"/>
        </w:rPr>
        <w:t>average</w:t>
      </w:r>
      <w:r w:rsidRPr="0047535B">
        <w:rPr>
          <w:rFonts w:ascii="Times New Roman" w:hAnsi="Times New Roman" w:cs="Times New Roman"/>
          <w:sz w:val="26"/>
        </w:rPr>
        <w:t xml:space="preserve"> yields of rapeseed-mustard of four states namely Haryan</w:t>
      </w:r>
      <w:r>
        <w:rPr>
          <w:rFonts w:ascii="Times New Roman" w:hAnsi="Times New Roman" w:cs="Times New Roman"/>
          <w:sz w:val="26"/>
        </w:rPr>
        <w:t xml:space="preserve">a (16.76 </w:t>
      </w:r>
      <w:proofErr w:type="spellStart"/>
      <w:r>
        <w:rPr>
          <w:rFonts w:ascii="Times New Roman" w:hAnsi="Times New Roman" w:cs="Times New Roman"/>
          <w:sz w:val="26"/>
        </w:rPr>
        <w:t>qtls</w:t>
      </w:r>
      <w:proofErr w:type="spellEnd"/>
      <w:r>
        <w:rPr>
          <w:rFonts w:ascii="Times New Roman" w:hAnsi="Times New Roman" w:cs="Times New Roman"/>
          <w:sz w:val="26"/>
        </w:rPr>
        <w:t>/ha)</w:t>
      </w:r>
      <w:r w:rsidRPr="0047535B">
        <w:rPr>
          <w:rFonts w:ascii="Times New Roman" w:hAnsi="Times New Roman" w:cs="Times New Roman"/>
          <w:sz w:val="26"/>
        </w:rPr>
        <w:t xml:space="preserve">, Gujarat (14.85 </w:t>
      </w:r>
      <w:proofErr w:type="spellStart"/>
      <w:r w:rsidRPr="0047535B">
        <w:rPr>
          <w:rFonts w:ascii="Times New Roman" w:hAnsi="Times New Roman" w:cs="Times New Roman"/>
          <w:sz w:val="26"/>
        </w:rPr>
        <w:t>qtls</w:t>
      </w:r>
      <w:proofErr w:type="spellEnd"/>
      <w:r w:rsidRPr="0047535B">
        <w:rPr>
          <w:rFonts w:ascii="Times New Roman" w:hAnsi="Times New Roman" w:cs="Times New Roman"/>
          <w:sz w:val="26"/>
        </w:rPr>
        <w:t xml:space="preserve">/ha), Punjab (12.77 </w:t>
      </w:r>
      <w:proofErr w:type="spellStart"/>
      <w:r w:rsidRPr="0047535B">
        <w:rPr>
          <w:rFonts w:ascii="Times New Roman" w:hAnsi="Times New Roman" w:cs="Times New Roman"/>
          <w:sz w:val="26"/>
        </w:rPr>
        <w:t>qtls</w:t>
      </w:r>
      <w:proofErr w:type="spellEnd"/>
      <w:r w:rsidRPr="0047535B">
        <w:rPr>
          <w:rFonts w:ascii="Times New Roman" w:hAnsi="Times New Roman" w:cs="Times New Roman"/>
          <w:sz w:val="26"/>
        </w:rPr>
        <w:t xml:space="preserve">/ha) and Rajasthan (12.35 </w:t>
      </w:r>
      <w:proofErr w:type="spellStart"/>
      <w:r w:rsidRPr="0047535B">
        <w:rPr>
          <w:rFonts w:ascii="Times New Roman" w:hAnsi="Times New Roman" w:cs="Times New Roman"/>
          <w:sz w:val="26"/>
        </w:rPr>
        <w:t>qtls</w:t>
      </w:r>
      <w:proofErr w:type="spellEnd"/>
      <w:r w:rsidRPr="0047535B">
        <w:rPr>
          <w:rFonts w:ascii="Times New Roman" w:hAnsi="Times New Roman" w:cs="Times New Roman"/>
          <w:sz w:val="26"/>
        </w:rPr>
        <w:t xml:space="preserve">/ha) were found to be higher than </w:t>
      </w:r>
      <w:r>
        <w:rPr>
          <w:rFonts w:ascii="Times New Roman" w:hAnsi="Times New Roman" w:cs="Times New Roman"/>
          <w:sz w:val="26"/>
        </w:rPr>
        <w:t xml:space="preserve">the </w:t>
      </w:r>
      <w:r w:rsidRPr="0047535B">
        <w:rPr>
          <w:rFonts w:ascii="Times New Roman" w:hAnsi="Times New Roman" w:cs="Times New Roman"/>
          <w:sz w:val="26"/>
        </w:rPr>
        <w:t>national average</w:t>
      </w:r>
      <w:r>
        <w:rPr>
          <w:rFonts w:ascii="Times New Roman" w:hAnsi="Times New Roman" w:cs="Times New Roman"/>
          <w:sz w:val="26"/>
        </w:rPr>
        <w:t xml:space="preserve"> </w:t>
      </w:r>
      <w:r w:rsidRPr="0047535B">
        <w:rPr>
          <w:rFonts w:ascii="Times New Roman" w:hAnsi="Times New Roman" w:cs="Times New Roman"/>
          <w:sz w:val="26"/>
        </w:rPr>
        <w:t xml:space="preserve">yield </w:t>
      </w:r>
      <w:r>
        <w:rPr>
          <w:rFonts w:ascii="Times New Roman" w:hAnsi="Times New Roman" w:cs="Times New Roman"/>
          <w:sz w:val="26"/>
        </w:rPr>
        <w:t xml:space="preserve">of </w:t>
      </w:r>
      <w:r w:rsidRPr="0047535B">
        <w:rPr>
          <w:rFonts w:ascii="Times New Roman" w:hAnsi="Times New Roman" w:cs="Times New Roman"/>
          <w:sz w:val="26"/>
        </w:rPr>
        <w:t xml:space="preserve">11.73 </w:t>
      </w:r>
      <w:proofErr w:type="spellStart"/>
      <w:r w:rsidRPr="0047535B">
        <w:rPr>
          <w:rFonts w:ascii="Times New Roman" w:hAnsi="Times New Roman" w:cs="Times New Roman"/>
          <w:sz w:val="26"/>
        </w:rPr>
        <w:t>qtls</w:t>
      </w:r>
      <w:proofErr w:type="spellEnd"/>
      <w:r w:rsidRPr="0047535B">
        <w:rPr>
          <w:rFonts w:ascii="Times New Roman" w:hAnsi="Times New Roman" w:cs="Times New Roman"/>
          <w:sz w:val="26"/>
        </w:rPr>
        <w:t>/ha</w:t>
      </w:r>
      <w:r>
        <w:rPr>
          <w:rFonts w:ascii="Times New Roman" w:hAnsi="Times New Roman" w:cs="Times New Roman"/>
          <w:sz w:val="26"/>
        </w:rPr>
        <w:t xml:space="preserve"> </w:t>
      </w:r>
      <w:r w:rsidRPr="00E33023">
        <w:rPr>
          <w:rFonts w:ascii="Times New Roman" w:hAnsi="Times New Roman" w:cs="Times New Roman"/>
          <w:b/>
          <w:sz w:val="26"/>
        </w:rPr>
        <w:t>(Fig-1)</w:t>
      </w:r>
      <w:r w:rsidRPr="0047535B">
        <w:rPr>
          <w:rFonts w:ascii="Times New Roman" w:hAnsi="Times New Roman" w:cs="Times New Roman"/>
          <w:sz w:val="26"/>
        </w:rPr>
        <w:t>.</w:t>
      </w:r>
    </w:p>
    <w:p w:rsidR="006520A3" w:rsidRDefault="006520A3" w:rsidP="006520A3">
      <w:pPr>
        <w:pStyle w:val="ListParagraph"/>
        <w:numPr>
          <w:ilvl w:val="0"/>
          <w:numId w:val="1"/>
        </w:numPr>
        <w:ind w:left="1890" w:right="1170" w:hanging="450"/>
        <w:jc w:val="both"/>
        <w:rPr>
          <w:rFonts w:ascii="Times New Roman" w:hAnsi="Times New Roman" w:cs="Times New Roman"/>
          <w:sz w:val="26"/>
        </w:rPr>
      </w:pPr>
      <w:r>
        <w:rPr>
          <w:rFonts w:ascii="Times New Roman" w:hAnsi="Times New Roman" w:cs="Times New Roman"/>
          <w:sz w:val="26"/>
        </w:rPr>
        <w:lastRenderedPageBreak/>
        <w:t xml:space="preserve">The average yield of FLDs of 7 states namely, Bihar, Haryana, Rajasthan, Punjab, Uttarakhand, Uttar Pradesh and West Bengal were higher than the national average FLDs yield of 14.83 </w:t>
      </w:r>
      <w:proofErr w:type="spellStart"/>
      <w:r>
        <w:rPr>
          <w:rFonts w:ascii="Times New Roman" w:hAnsi="Times New Roman" w:cs="Times New Roman"/>
          <w:sz w:val="26"/>
        </w:rPr>
        <w:t>qtls</w:t>
      </w:r>
      <w:proofErr w:type="spellEnd"/>
      <w:r>
        <w:rPr>
          <w:rFonts w:ascii="Times New Roman" w:hAnsi="Times New Roman" w:cs="Times New Roman"/>
          <w:sz w:val="26"/>
        </w:rPr>
        <w:t xml:space="preserve">/ha </w:t>
      </w:r>
      <w:r w:rsidRPr="00E33023">
        <w:rPr>
          <w:rFonts w:ascii="Times New Roman" w:hAnsi="Times New Roman" w:cs="Times New Roman"/>
          <w:b/>
          <w:sz w:val="26"/>
        </w:rPr>
        <w:t>(Fig-1)</w:t>
      </w:r>
      <w:r>
        <w:rPr>
          <w:rFonts w:ascii="Times New Roman" w:hAnsi="Times New Roman" w:cs="Times New Roman"/>
          <w:sz w:val="26"/>
        </w:rPr>
        <w:t xml:space="preserve">. </w:t>
      </w:r>
    </w:p>
    <w:p w:rsidR="006520A3" w:rsidRPr="00F64CAA" w:rsidRDefault="006520A3" w:rsidP="006520A3">
      <w:pPr>
        <w:pStyle w:val="ListParagraph"/>
        <w:numPr>
          <w:ilvl w:val="0"/>
          <w:numId w:val="1"/>
        </w:numPr>
        <w:ind w:left="1890" w:right="1170" w:hanging="450"/>
        <w:jc w:val="both"/>
        <w:rPr>
          <w:rFonts w:ascii="Times New Roman" w:hAnsi="Times New Roman" w:cs="Times New Roman"/>
          <w:sz w:val="26"/>
        </w:rPr>
      </w:pPr>
      <w:r w:rsidRPr="00F64CAA">
        <w:rPr>
          <w:rFonts w:ascii="Times New Roman" w:hAnsi="Times New Roman" w:cs="Times New Roman"/>
          <w:sz w:val="26"/>
        </w:rPr>
        <w:t xml:space="preserve">The average yield gap between the state </w:t>
      </w:r>
      <w:r>
        <w:rPr>
          <w:rFonts w:ascii="Times New Roman" w:hAnsi="Times New Roman" w:cs="Times New Roman"/>
          <w:sz w:val="26"/>
        </w:rPr>
        <w:t>average</w:t>
      </w:r>
      <w:r w:rsidRPr="00F64CAA">
        <w:rPr>
          <w:rFonts w:ascii="Times New Roman" w:hAnsi="Times New Roman" w:cs="Times New Roman"/>
          <w:sz w:val="26"/>
        </w:rPr>
        <w:t xml:space="preserve"> yield and FLDs </w:t>
      </w:r>
      <w:r>
        <w:rPr>
          <w:rFonts w:ascii="Times New Roman" w:hAnsi="Times New Roman" w:cs="Times New Roman"/>
          <w:sz w:val="26"/>
        </w:rPr>
        <w:t>average</w:t>
      </w:r>
      <w:r w:rsidRPr="00F64CAA">
        <w:rPr>
          <w:rFonts w:ascii="Times New Roman" w:hAnsi="Times New Roman" w:cs="Times New Roman"/>
          <w:sz w:val="26"/>
        </w:rPr>
        <w:t xml:space="preserve"> yield of two states namely J&amp;K and Maharashtra </w:t>
      </w:r>
      <w:r>
        <w:rPr>
          <w:rFonts w:ascii="Times New Roman" w:hAnsi="Times New Roman" w:cs="Times New Roman"/>
          <w:sz w:val="26"/>
        </w:rPr>
        <w:t xml:space="preserve">were </w:t>
      </w:r>
      <w:r w:rsidRPr="00F64CAA">
        <w:rPr>
          <w:rFonts w:ascii="Times New Roman" w:hAnsi="Times New Roman" w:cs="Times New Roman"/>
          <w:sz w:val="26"/>
        </w:rPr>
        <w:t>less than the</w:t>
      </w:r>
      <w:r>
        <w:rPr>
          <w:rFonts w:ascii="Times New Roman" w:hAnsi="Times New Roman" w:cs="Times New Roman"/>
          <w:sz w:val="26"/>
        </w:rPr>
        <w:t xml:space="preserve"> yield gap at national level i.</w:t>
      </w:r>
      <w:r w:rsidRPr="00F64CAA">
        <w:rPr>
          <w:rFonts w:ascii="Times New Roman" w:hAnsi="Times New Roman" w:cs="Times New Roman"/>
          <w:sz w:val="26"/>
        </w:rPr>
        <w:t xml:space="preserve">e. 3.11 </w:t>
      </w:r>
      <w:proofErr w:type="spellStart"/>
      <w:r w:rsidRPr="00F64CAA">
        <w:rPr>
          <w:rFonts w:ascii="Times New Roman" w:hAnsi="Times New Roman" w:cs="Times New Roman"/>
          <w:sz w:val="26"/>
        </w:rPr>
        <w:t>qtls</w:t>
      </w:r>
      <w:proofErr w:type="spellEnd"/>
      <w:r w:rsidRPr="00F64CAA">
        <w:rPr>
          <w:rFonts w:ascii="Times New Roman" w:hAnsi="Times New Roman" w:cs="Times New Roman"/>
          <w:sz w:val="26"/>
        </w:rPr>
        <w:t>/ha</w:t>
      </w:r>
      <w:r>
        <w:rPr>
          <w:rFonts w:ascii="Times New Roman" w:hAnsi="Times New Roman" w:cs="Times New Roman"/>
          <w:sz w:val="26"/>
        </w:rPr>
        <w:t>,</w:t>
      </w:r>
      <w:r w:rsidRPr="00F64CAA">
        <w:rPr>
          <w:rFonts w:ascii="Times New Roman" w:hAnsi="Times New Roman" w:cs="Times New Roman"/>
          <w:sz w:val="26"/>
        </w:rPr>
        <w:t xml:space="preserve"> although the </w:t>
      </w:r>
      <w:r>
        <w:rPr>
          <w:rFonts w:ascii="Times New Roman" w:hAnsi="Times New Roman" w:cs="Times New Roman"/>
          <w:sz w:val="26"/>
        </w:rPr>
        <w:t>average</w:t>
      </w:r>
      <w:r w:rsidRPr="00F64CAA">
        <w:rPr>
          <w:rFonts w:ascii="Times New Roman" w:hAnsi="Times New Roman" w:cs="Times New Roman"/>
          <w:sz w:val="26"/>
        </w:rPr>
        <w:t xml:space="preserve"> FLDs yield level</w:t>
      </w:r>
      <w:r>
        <w:rPr>
          <w:rFonts w:ascii="Times New Roman" w:hAnsi="Times New Roman" w:cs="Times New Roman"/>
          <w:sz w:val="26"/>
        </w:rPr>
        <w:t>s</w:t>
      </w:r>
      <w:r w:rsidRPr="00F64CAA">
        <w:rPr>
          <w:rFonts w:ascii="Times New Roman" w:hAnsi="Times New Roman" w:cs="Times New Roman"/>
          <w:sz w:val="26"/>
        </w:rPr>
        <w:t xml:space="preserve"> of these states were quite low </w:t>
      </w:r>
      <w:r w:rsidRPr="00F64CAA">
        <w:rPr>
          <w:rFonts w:ascii="Times New Roman" w:hAnsi="Times New Roman" w:cs="Times New Roman"/>
          <w:b/>
          <w:sz w:val="26"/>
        </w:rPr>
        <w:t>(Fig-2 &amp; Table-1)</w:t>
      </w:r>
      <w:r w:rsidRPr="00F64CAA">
        <w:rPr>
          <w:rFonts w:ascii="Times New Roman" w:hAnsi="Times New Roman" w:cs="Times New Roman"/>
          <w:sz w:val="26"/>
        </w:rPr>
        <w:t>. The yield gap w</w:t>
      </w:r>
      <w:r>
        <w:rPr>
          <w:rFonts w:ascii="Times New Roman" w:hAnsi="Times New Roman" w:cs="Times New Roman"/>
          <w:sz w:val="26"/>
        </w:rPr>
        <w:t>as</w:t>
      </w:r>
      <w:r w:rsidRPr="00F64CAA">
        <w:rPr>
          <w:rFonts w:ascii="Times New Roman" w:hAnsi="Times New Roman" w:cs="Times New Roman"/>
          <w:sz w:val="26"/>
        </w:rPr>
        <w:t xml:space="preserve"> highest in Bihar</w:t>
      </w:r>
      <w:r>
        <w:rPr>
          <w:rFonts w:ascii="Times New Roman" w:hAnsi="Times New Roman" w:cs="Times New Roman"/>
          <w:sz w:val="26"/>
        </w:rPr>
        <w:t xml:space="preserve"> followed by</w:t>
      </w:r>
      <w:r w:rsidRPr="00F64CAA">
        <w:rPr>
          <w:rFonts w:ascii="Times New Roman" w:hAnsi="Times New Roman" w:cs="Times New Roman"/>
          <w:sz w:val="26"/>
        </w:rPr>
        <w:t xml:space="preserve"> Uttarakhand, Assam and WB but the </w:t>
      </w:r>
      <w:r>
        <w:rPr>
          <w:rFonts w:ascii="Times New Roman" w:hAnsi="Times New Roman" w:cs="Times New Roman"/>
          <w:sz w:val="26"/>
        </w:rPr>
        <w:t>average</w:t>
      </w:r>
      <w:r w:rsidRPr="00F64CAA">
        <w:rPr>
          <w:rFonts w:ascii="Times New Roman" w:hAnsi="Times New Roman" w:cs="Times New Roman"/>
          <w:sz w:val="26"/>
        </w:rPr>
        <w:t xml:space="preserve"> yield of these states were </w:t>
      </w:r>
      <w:r>
        <w:rPr>
          <w:rFonts w:ascii="Times New Roman" w:hAnsi="Times New Roman" w:cs="Times New Roman"/>
          <w:sz w:val="26"/>
        </w:rPr>
        <w:t xml:space="preserve">also </w:t>
      </w:r>
      <w:r w:rsidRPr="00F64CAA">
        <w:rPr>
          <w:rFonts w:ascii="Times New Roman" w:hAnsi="Times New Roman" w:cs="Times New Roman"/>
          <w:sz w:val="26"/>
        </w:rPr>
        <w:t>reasonably higher</w:t>
      </w:r>
      <w:r>
        <w:rPr>
          <w:rFonts w:ascii="Times New Roman" w:hAnsi="Times New Roman" w:cs="Times New Roman"/>
          <w:sz w:val="26"/>
        </w:rPr>
        <w:t>.</w:t>
      </w:r>
      <w:r w:rsidRPr="00F64CAA">
        <w:rPr>
          <w:rFonts w:ascii="Times New Roman" w:hAnsi="Times New Roman" w:cs="Times New Roman"/>
          <w:sz w:val="26"/>
        </w:rPr>
        <w:t xml:space="preserve"> </w:t>
      </w:r>
      <w:r>
        <w:rPr>
          <w:rFonts w:ascii="Times New Roman" w:hAnsi="Times New Roman" w:cs="Times New Roman"/>
          <w:sz w:val="26"/>
        </w:rPr>
        <w:t>I</w:t>
      </w:r>
      <w:r w:rsidRPr="00F64CAA">
        <w:rPr>
          <w:rFonts w:ascii="Times New Roman" w:hAnsi="Times New Roman" w:cs="Times New Roman"/>
          <w:sz w:val="26"/>
        </w:rPr>
        <w:t>n contrast</w:t>
      </w:r>
      <w:r>
        <w:rPr>
          <w:rFonts w:ascii="Times New Roman" w:hAnsi="Times New Roman" w:cs="Times New Roman"/>
          <w:sz w:val="26"/>
        </w:rPr>
        <w:t>,</w:t>
      </w:r>
      <w:r w:rsidRPr="00F64CAA">
        <w:rPr>
          <w:rFonts w:ascii="Times New Roman" w:hAnsi="Times New Roman" w:cs="Times New Roman"/>
          <w:sz w:val="26"/>
        </w:rPr>
        <w:t xml:space="preserve"> although yield gaps </w:t>
      </w:r>
      <w:r>
        <w:rPr>
          <w:rFonts w:ascii="Times New Roman" w:hAnsi="Times New Roman" w:cs="Times New Roman"/>
          <w:sz w:val="26"/>
        </w:rPr>
        <w:t xml:space="preserve">were </w:t>
      </w:r>
      <w:r w:rsidRPr="00F64CAA">
        <w:rPr>
          <w:rFonts w:ascii="Times New Roman" w:hAnsi="Times New Roman" w:cs="Times New Roman"/>
          <w:sz w:val="26"/>
        </w:rPr>
        <w:t xml:space="preserve">lower in Maharashtra and Jharkhand, the </w:t>
      </w:r>
      <w:r>
        <w:rPr>
          <w:rFonts w:ascii="Times New Roman" w:hAnsi="Times New Roman" w:cs="Times New Roman"/>
          <w:sz w:val="26"/>
        </w:rPr>
        <w:t>average</w:t>
      </w:r>
      <w:r w:rsidRPr="00F64CAA">
        <w:rPr>
          <w:rFonts w:ascii="Times New Roman" w:hAnsi="Times New Roman" w:cs="Times New Roman"/>
          <w:sz w:val="26"/>
        </w:rPr>
        <w:t xml:space="preserve"> yields </w:t>
      </w:r>
      <w:r>
        <w:rPr>
          <w:rFonts w:ascii="Times New Roman" w:hAnsi="Times New Roman" w:cs="Times New Roman"/>
          <w:sz w:val="26"/>
        </w:rPr>
        <w:t xml:space="preserve">of these </w:t>
      </w:r>
      <w:r w:rsidRPr="00F64CAA">
        <w:rPr>
          <w:rFonts w:ascii="Times New Roman" w:hAnsi="Times New Roman" w:cs="Times New Roman"/>
          <w:sz w:val="26"/>
        </w:rPr>
        <w:t>state</w:t>
      </w:r>
      <w:r>
        <w:rPr>
          <w:rFonts w:ascii="Times New Roman" w:hAnsi="Times New Roman" w:cs="Times New Roman"/>
          <w:sz w:val="26"/>
        </w:rPr>
        <w:t>s</w:t>
      </w:r>
      <w:r w:rsidRPr="00F64CAA">
        <w:rPr>
          <w:rFonts w:ascii="Times New Roman" w:hAnsi="Times New Roman" w:cs="Times New Roman"/>
          <w:sz w:val="26"/>
        </w:rPr>
        <w:t xml:space="preserve"> were quit</w:t>
      </w:r>
      <w:r>
        <w:rPr>
          <w:rFonts w:ascii="Times New Roman" w:hAnsi="Times New Roman" w:cs="Times New Roman"/>
          <w:sz w:val="26"/>
        </w:rPr>
        <w:t>e</w:t>
      </w:r>
      <w:r w:rsidRPr="00F64CAA">
        <w:rPr>
          <w:rFonts w:ascii="Times New Roman" w:hAnsi="Times New Roman" w:cs="Times New Roman"/>
          <w:sz w:val="26"/>
        </w:rPr>
        <w:t xml:space="preserve"> low. </w:t>
      </w:r>
    </w:p>
    <w:p w:rsidR="006520A3" w:rsidRDefault="006520A3" w:rsidP="006520A3">
      <w:pPr>
        <w:pStyle w:val="ListParagraph"/>
        <w:numPr>
          <w:ilvl w:val="0"/>
          <w:numId w:val="1"/>
        </w:numPr>
        <w:ind w:left="1890" w:right="1170" w:hanging="450"/>
        <w:jc w:val="both"/>
        <w:rPr>
          <w:rFonts w:ascii="Times New Roman" w:hAnsi="Times New Roman" w:cs="Times New Roman"/>
          <w:sz w:val="26"/>
        </w:rPr>
      </w:pPr>
      <w:r>
        <w:rPr>
          <w:rFonts w:ascii="Times New Roman" w:hAnsi="Times New Roman" w:cs="Times New Roman"/>
          <w:sz w:val="26"/>
        </w:rPr>
        <w:t>Haryana is the only state that realized more than 83% of yield potential of rapeseed-mustard expressed in terms of FLDs yields. J&amp;K (74.98%), Punjab (69.34%) and Jharkhand (67.58%) were the other states realizing maximum of the corresponding potential FLD</w:t>
      </w:r>
      <w:r w:rsidRPr="00F64CAA">
        <w:rPr>
          <w:rFonts w:ascii="Times New Roman" w:hAnsi="Times New Roman" w:cs="Times New Roman"/>
          <w:sz w:val="26"/>
        </w:rPr>
        <w:t xml:space="preserve"> yield</w:t>
      </w:r>
      <w:r>
        <w:rPr>
          <w:rFonts w:ascii="Times New Roman" w:hAnsi="Times New Roman" w:cs="Times New Roman"/>
          <w:sz w:val="26"/>
        </w:rPr>
        <w:t xml:space="preserve">s </w:t>
      </w:r>
      <w:r w:rsidRPr="0014780E">
        <w:rPr>
          <w:rFonts w:ascii="Times New Roman" w:hAnsi="Times New Roman" w:cs="Times New Roman"/>
          <w:b/>
          <w:sz w:val="26"/>
        </w:rPr>
        <w:t>(Fig-3)</w:t>
      </w:r>
      <w:r>
        <w:rPr>
          <w:rFonts w:ascii="Times New Roman" w:hAnsi="Times New Roman" w:cs="Times New Roman"/>
          <w:sz w:val="26"/>
        </w:rPr>
        <w:t>.</w:t>
      </w:r>
      <w:r w:rsidRPr="00F64CAA">
        <w:rPr>
          <w:rFonts w:ascii="Times New Roman" w:hAnsi="Times New Roman" w:cs="Times New Roman"/>
          <w:sz w:val="26"/>
        </w:rPr>
        <w:t xml:space="preserve"> </w:t>
      </w:r>
      <w:r>
        <w:rPr>
          <w:rFonts w:ascii="Times New Roman" w:hAnsi="Times New Roman" w:cs="Times New Roman"/>
          <w:sz w:val="26"/>
        </w:rPr>
        <w:t>All other states realized between 41.20 to 66.07% of the FLD yields.</w:t>
      </w:r>
    </w:p>
    <w:p w:rsidR="006520A3" w:rsidRDefault="006520A3" w:rsidP="006520A3">
      <w:pPr>
        <w:pStyle w:val="ListParagraph"/>
        <w:ind w:left="1890" w:right="1170"/>
        <w:jc w:val="both"/>
        <w:rPr>
          <w:rFonts w:ascii="Times New Roman" w:hAnsi="Times New Roman" w:cs="Times New Roman"/>
          <w:sz w:val="26"/>
        </w:rPr>
      </w:pPr>
    </w:p>
    <w:p w:rsidR="006520A3" w:rsidRPr="00984A1A" w:rsidRDefault="006520A3" w:rsidP="006520A3">
      <w:pPr>
        <w:pStyle w:val="ListParagraph"/>
        <w:ind w:left="1890" w:right="1170"/>
        <w:jc w:val="center"/>
        <w:rPr>
          <w:rFonts w:ascii="Times New Roman" w:hAnsi="Times New Roman" w:cs="Times New Roman"/>
          <w:sz w:val="26"/>
        </w:rPr>
      </w:pPr>
      <w:r>
        <w:rPr>
          <w:rFonts w:ascii="Times New Roman" w:hAnsi="Times New Roman" w:cs="Times New Roman"/>
          <w:sz w:val="26"/>
        </w:rPr>
        <w:t>*******</w:t>
      </w:r>
    </w:p>
    <w:p w:rsidR="006520A3" w:rsidRPr="00401279" w:rsidRDefault="006520A3" w:rsidP="006520A3">
      <w:pPr>
        <w:ind w:left="990" w:right="1170" w:firstLine="1080"/>
        <w:jc w:val="both"/>
        <w:rPr>
          <w:rFonts w:ascii="Times New Roman" w:hAnsi="Times New Roman" w:cs="Times New Roman"/>
          <w:b/>
          <w:sz w:val="26"/>
        </w:rPr>
      </w:pPr>
    </w:p>
    <w:p w:rsidR="006520A3" w:rsidRDefault="006520A3">
      <w:pPr>
        <w:rPr>
          <w:b/>
          <w:sz w:val="28"/>
        </w:rPr>
      </w:pPr>
      <w:r>
        <w:rPr>
          <w:b/>
          <w:sz w:val="28"/>
        </w:rPr>
        <w:br w:type="page"/>
      </w:r>
    </w:p>
    <w:p w:rsidR="0016314E" w:rsidRPr="00401279" w:rsidRDefault="00401279" w:rsidP="00401279">
      <w:pPr>
        <w:pStyle w:val="NoSpacing"/>
        <w:jc w:val="center"/>
        <w:rPr>
          <w:b/>
          <w:sz w:val="28"/>
        </w:rPr>
      </w:pPr>
      <w:r w:rsidRPr="00401279">
        <w:rPr>
          <w:b/>
          <w:sz w:val="28"/>
        </w:rPr>
        <w:lastRenderedPageBreak/>
        <w:t>Table-1</w:t>
      </w:r>
      <w:r w:rsidR="00D975F7">
        <w:rPr>
          <w:b/>
          <w:sz w:val="28"/>
        </w:rPr>
        <w:t xml:space="preserve"> </w:t>
      </w:r>
      <w:r w:rsidR="0016314E" w:rsidRPr="00401279">
        <w:rPr>
          <w:b/>
          <w:sz w:val="28"/>
        </w:rPr>
        <w:t>State wise avg. area, production and yield of rapeseed-mustard for the quinquennial</w:t>
      </w:r>
    </w:p>
    <w:p w:rsidR="002D06F8" w:rsidRPr="00401279" w:rsidRDefault="0016314E" w:rsidP="0016314E">
      <w:pPr>
        <w:pStyle w:val="NoSpacing"/>
        <w:jc w:val="center"/>
        <w:rPr>
          <w:b/>
          <w:sz w:val="28"/>
        </w:rPr>
      </w:pPr>
      <w:r w:rsidRPr="00401279">
        <w:rPr>
          <w:b/>
          <w:sz w:val="28"/>
        </w:rPr>
        <w:t>2008-09 to 2012-13</w:t>
      </w:r>
    </w:p>
    <w:p w:rsidR="0016314E" w:rsidRDefault="0016314E" w:rsidP="0016314E">
      <w:pPr>
        <w:pStyle w:val="NoSpacing"/>
        <w:jc w:val="center"/>
        <w:rPr>
          <w:b/>
          <w:sz w:val="30"/>
        </w:rPr>
      </w:pPr>
    </w:p>
    <w:tbl>
      <w:tblPr>
        <w:tblpPr w:leftFromText="180" w:rightFromText="180" w:vertAnchor="text" w:tblpY="1"/>
        <w:tblOverlap w:val="never"/>
        <w:tblW w:w="11446" w:type="dxa"/>
        <w:tblInd w:w="93" w:type="dxa"/>
        <w:tblLook w:val="04A0"/>
      </w:tblPr>
      <w:tblGrid>
        <w:gridCol w:w="571"/>
        <w:gridCol w:w="1512"/>
        <w:gridCol w:w="1080"/>
        <w:gridCol w:w="1378"/>
        <w:gridCol w:w="1145"/>
        <w:gridCol w:w="1080"/>
        <w:gridCol w:w="1081"/>
        <w:gridCol w:w="1378"/>
        <w:gridCol w:w="1050"/>
        <w:gridCol w:w="1171"/>
      </w:tblGrid>
      <w:tr w:rsidR="00005A66" w:rsidRPr="0016314E" w:rsidTr="000E6B22">
        <w:trPr>
          <w:trHeight w:val="665"/>
        </w:trPr>
        <w:tc>
          <w:tcPr>
            <w:tcW w:w="571"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16314E" w:rsidRPr="0016314E" w:rsidRDefault="0016314E" w:rsidP="000E6B22">
            <w:pPr>
              <w:pStyle w:val="NoSpacing"/>
              <w:rPr>
                <w:rFonts w:ascii="Arial" w:eastAsia="Times New Roman" w:hAnsi="Arial" w:cs="Arial"/>
                <w:b/>
              </w:rPr>
            </w:pPr>
            <w:r w:rsidRPr="0016314E">
              <w:rPr>
                <w:rFonts w:ascii="Arial" w:eastAsia="Times New Roman" w:hAnsi="Arial" w:cs="Arial"/>
                <w:b/>
              </w:rPr>
              <w:t>S. No.</w:t>
            </w:r>
          </w:p>
        </w:tc>
        <w:tc>
          <w:tcPr>
            <w:tcW w:w="1512"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16314E" w:rsidRPr="0016314E" w:rsidRDefault="0016314E" w:rsidP="000E6B22">
            <w:pPr>
              <w:pStyle w:val="NoSpacing"/>
              <w:rPr>
                <w:rFonts w:ascii="Arial" w:eastAsia="Times New Roman" w:hAnsi="Arial" w:cs="Arial"/>
                <w:b/>
              </w:rPr>
            </w:pPr>
            <w:r w:rsidRPr="0016314E">
              <w:rPr>
                <w:rFonts w:ascii="Arial" w:eastAsia="Times New Roman" w:hAnsi="Arial" w:cs="Arial"/>
                <w:b/>
              </w:rPr>
              <w:t>State</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16314E" w:rsidP="000E6B22">
            <w:pPr>
              <w:pStyle w:val="NoSpacing"/>
              <w:ind w:right="-111"/>
              <w:rPr>
                <w:rFonts w:ascii="Arial" w:eastAsia="Times New Roman" w:hAnsi="Arial" w:cs="Arial"/>
                <w:b/>
              </w:rPr>
            </w:pPr>
            <w:r w:rsidRPr="0016314E">
              <w:rPr>
                <w:rFonts w:ascii="Arial" w:eastAsia="Times New Roman" w:hAnsi="Arial" w:cs="Arial"/>
                <w:b/>
              </w:rPr>
              <w:t xml:space="preserve">Area </w:t>
            </w:r>
            <w:r w:rsidRPr="0016314E">
              <w:rPr>
                <w:rFonts w:ascii="Arial" w:eastAsia="Times New Roman" w:hAnsi="Arial" w:cs="Arial"/>
                <w:b/>
              </w:rPr>
              <w:br/>
              <w:t>(</w:t>
            </w:r>
            <w:proofErr w:type="spellStart"/>
            <w:r w:rsidRPr="0016314E">
              <w:rPr>
                <w:rFonts w:ascii="Arial" w:eastAsia="Times New Roman" w:hAnsi="Arial" w:cs="Arial"/>
                <w:b/>
              </w:rPr>
              <w:t>lakh</w:t>
            </w:r>
            <w:proofErr w:type="spellEnd"/>
            <w:r w:rsidRPr="0016314E">
              <w:rPr>
                <w:rFonts w:ascii="Arial" w:eastAsia="Times New Roman" w:hAnsi="Arial" w:cs="Arial"/>
                <w:b/>
              </w:rPr>
              <w:t xml:space="preserve"> ha)</w:t>
            </w:r>
          </w:p>
        </w:tc>
        <w:tc>
          <w:tcPr>
            <w:tcW w:w="13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16314E" w:rsidP="000E6B22">
            <w:pPr>
              <w:pStyle w:val="NoSpacing"/>
              <w:rPr>
                <w:rFonts w:ascii="Arial" w:eastAsia="Times New Roman" w:hAnsi="Arial" w:cs="Arial"/>
                <w:b/>
              </w:rPr>
            </w:pPr>
            <w:r w:rsidRPr="0016314E">
              <w:rPr>
                <w:rFonts w:ascii="Arial" w:eastAsia="Times New Roman" w:hAnsi="Arial" w:cs="Arial"/>
                <w:b/>
              </w:rPr>
              <w:t xml:space="preserve">Production </w:t>
            </w:r>
            <w:r w:rsidRPr="0016314E">
              <w:rPr>
                <w:rFonts w:ascii="Arial" w:eastAsia="Times New Roman" w:hAnsi="Arial" w:cs="Arial"/>
                <w:b/>
              </w:rPr>
              <w:br/>
              <w:t>(</w:t>
            </w:r>
            <w:proofErr w:type="spellStart"/>
            <w:r w:rsidRPr="0016314E">
              <w:rPr>
                <w:rFonts w:ascii="Arial" w:eastAsia="Times New Roman" w:hAnsi="Arial" w:cs="Arial"/>
                <w:b/>
              </w:rPr>
              <w:t>lakh</w:t>
            </w:r>
            <w:proofErr w:type="spellEnd"/>
            <w:r w:rsidRPr="0016314E">
              <w:rPr>
                <w:rFonts w:ascii="Arial" w:eastAsia="Times New Roman" w:hAnsi="Arial" w:cs="Arial"/>
                <w:b/>
              </w:rPr>
              <w:t xml:space="preserve"> tons)</w:t>
            </w:r>
          </w:p>
        </w:tc>
        <w:tc>
          <w:tcPr>
            <w:tcW w:w="114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005A66" w:rsidP="000E6B22">
            <w:pPr>
              <w:pStyle w:val="NoSpacing"/>
              <w:ind w:right="-18"/>
              <w:rPr>
                <w:rFonts w:ascii="Arial" w:eastAsia="Times New Roman" w:hAnsi="Arial" w:cs="Arial"/>
                <w:b/>
              </w:rPr>
            </w:pPr>
            <w:r>
              <w:rPr>
                <w:rFonts w:ascii="Arial" w:eastAsia="Times New Roman" w:hAnsi="Arial" w:cs="Arial"/>
                <w:b/>
              </w:rPr>
              <w:t xml:space="preserve">State </w:t>
            </w:r>
            <w:proofErr w:type="spellStart"/>
            <w:r>
              <w:rPr>
                <w:rFonts w:ascii="Arial" w:eastAsia="Times New Roman" w:hAnsi="Arial" w:cs="Arial"/>
                <w:b/>
              </w:rPr>
              <w:t>avg</w:t>
            </w:r>
            <w:proofErr w:type="spellEnd"/>
            <w:r>
              <w:rPr>
                <w:rFonts w:ascii="Arial" w:eastAsia="Times New Roman" w:hAnsi="Arial" w:cs="Arial"/>
                <w:b/>
              </w:rPr>
              <w:t xml:space="preserve"> </w:t>
            </w:r>
            <w:r w:rsidR="0016314E" w:rsidRPr="0016314E">
              <w:rPr>
                <w:rFonts w:ascii="Arial" w:eastAsia="Times New Roman" w:hAnsi="Arial" w:cs="Arial"/>
                <w:b/>
              </w:rPr>
              <w:t>yield</w:t>
            </w:r>
            <w:r w:rsidR="0016314E" w:rsidRPr="0016314E">
              <w:rPr>
                <w:rFonts w:ascii="Arial" w:eastAsia="Times New Roman" w:hAnsi="Arial" w:cs="Arial"/>
                <w:b/>
              </w:rPr>
              <w:br/>
              <w:t>(kg/ha)</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16314E" w:rsidP="000E6B22">
            <w:pPr>
              <w:pStyle w:val="NoSpacing"/>
              <w:ind w:right="-108"/>
              <w:rPr>
                <w:rFonts w:ascii="Arial" w:eastAsia="Times New Roman" w:hAnsi="Arial" w:cs="Arial"/>
                <w:b/>
              </w:rPr>
            </w:pPr>
            <w:r w:rsidRPr="0016314E">
              <w:rPr>
                <w:rFonts w:ascii="Arial" w:eastAsia="Times New Roman" w:hAnsi="Arial" w:cs="Arial"/>
                <w:b/>
              </w:rPr>
              <w:t xml:space="preserve">FLD </w:t>
            </w:r>
            <w:proofErr w:type="spellStart"/>
            <w:r w:rsidRPr="0016314E">
              <w:rPr>
                <w:rFonts w:ascii="Arial" w:eastAsia="Times New Roman" w:hAnsi="Arial" w:cs="Arial"/>
                <w:b/>
              </w:rPr>
              <w:t>avg</w:t>
            </w:r>
            <w:proofErr w:type="spellEnd"/>
            <w:r w:rsidRPr="0016314E">
              <w:rPr>
                <w:rFonts w:ascii="Arial" w:eastAsia="Times New Roman" w:hAnsi="Arial" w:cs="Arial"/>
                <w:b/>
              </w:rPr>
              <w:t xml:space="preserve"> Yield</w:t>
            </w:r>
            <w:r w:rsidRPr="0016314E">
              <w:rPr>
                <w:rFonts w:ascii="Arial" w:eastAsia="Times New Roman" w:hAnsi="Arial" w:cs="Arial"/>
                <w:b/>
              </w:rPr>
              <w:br/>
              <w:t>(kg/ha)</w:t>
            </w:r>
          </w:p>
        </w:tc>
        <w:tc>
          <w:tcPr>
            <w:tcW w:w="108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16314E" w:rsidP="000E6B22">
            <w:pPr>
              <w:pStyle w:val="NoSpacing"/>
              <w:rPr>
                <w:rFonts w:ascii="Arial" w:eastAsia="Times New Roman" w:hAnsi="Arial" w:cs="Arial"/>
                <w:b/>
              </w:rPr>
            </w:pPr>
            <w:r w:rsidRPr="0016314E">
              <w:rPr>
                <w:rFonts w:ascii="Arial" w:eastAsia="Times New Roman" w:hAnsi="Arial" w:cs="Arial"/>
                <w:b/>
              </w:rPr>
              <w:t xml:space="preserve">% </w:t>
            </w:r>
            <w:r w:rsidRPr="0016314E">
              <w:rPr>
                <w:rFonts w:ascii="Arial" w:eastAsia="Times New Roman" w:hAnsi="Arial" w:cs="Arial"/>
                <w:b/>
              </w:rPr>
              <w:br/>
            </w:r>
            <w:r w:rsidR="00005A66" w:rsidRPr="0016314E">
              <w:rPr>
                <w:rFonts w:ascii="Arial" w:eastAsia="Times New Roman" w:hAnsi="Arial" w:cs="Arial"/>
                <w:b/>
              </w:rPr>
              <w:t>Area</w:t>
            </w:r>
          </w:p>
        </w:tc>
        <w:tc>
          <w:tcPr>
            <w:tcW w:w="13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16314E" w:rsidP="000E6B22">
            <w:pPr>
              <w:pStyle w:val="NoSpacing"/>
              <w:rPr>
                <w:rFonts w:ascii="Arial" w:eastAsia="Times New Roman" w:hAnsi="Arial" w:cs="Arial"/>
                <w:b/>
              </w:rPr>
            </w:pPr>
            <w:r w:rsidRPr="0016314E">
              <w:rPr>
                <w:rFonts w:ascii="Arial" w:eastAsia="Times New Roman" w:hAnsi="Arial" w:cs="Arial"/>
                <w:b/>
              </w:rPr>
              <w:t>%</w:t>
            </w:r>
            <w:r w:rsidRPr="0016314E">
              <w:rPr>
                <w:rFonts w:ascii="Arial" w:eastAsia="Times New Roman" w:hAnsi="Arial" w:cs="Arial"/>
                <w:b/>
              </w:rPr>
              <w:br/>
              <w:t>Production</w:t>
            </w:r>
          </w:p>
        </w:tc>
        <w:tc>
          <w:tcPr>
            <w:tcW w:w="105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6314E" w:rsidRPr="0016314E" w:rsidRDefault="0016314E" w:rsidP="000E6B22">
            <w:pPr>
              <w:pStyle w:val="NoSpacing"/>
              <w:rPr>
                <w:rFonts w:ascii="Arial" w:eastAsia="Times New Roman" w:hAnsi="Arial" w:cs="Arial"/>
                <w:b/>
              </w:rPr>
            </w:pPr>
            <w:r w:rsidRPr="0016314E">
              <w:rPr>
                <w:rFonts w:ascii="Arial" w:eastAsia="Times New Roman" w:hAnsi="Arial" w:cs="Arial"/>
                <w:b/>
              </w:rPr>
              <w:t>Yield gap</w:t>
            </w:r>
            <w:r w:rsidRPr="0016314E">
              <w:rPr>
                <w:rFonts w:ascii="Arial" w:eastAsia="Times New Roman" w:hAnsi="Arial" w:cs="Arial"/>
                <w:b/>
              </w:rPr>
              <w:br/>
            </w:r>
          </w:p>
        </w:tc>
        <w:tc>
          <w:tcPr>
            <w:tcW w:w="117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16314E" w:rsidRPr="0016314E" w:rsidRDefault="0016314E" w:rsidP="000E6B22">
            <w:pPr>
              <w:spacing w:after="0" w:line="240" w:lineRule="auto"/>
              <w:rPr>
                <w:rFonts w:ascii="Arial" w:eastAsia="Times New Roman" w:hAnsi="Arial" w:cs="Arial"/>
                <w:b/>
                <w:bCs/>
                <w:color w:val="000000"/>
              </w:rPr>
            </w:pPr>
            <w:r w:rsidRPr="0016314E">
              <w:rPr>
                <w:rFonts w:ascii="Arial" w:eastAsia="Times New Roman" w:hAnsi="Arial" w:cs="Arial"/>
                <w:b/>
                <w:bCs/>
                <w:color w:val="000000"/>
              </w:rPr>
              <w:t xml:space="preserve">% of state </w:t>
            </w:r>
            <w:proofErr w:type="spellStart"/>
            <w:r w:rsidRPr="0016314E">
              <w:rPr>
                <w:rFonts w:ascii="Arial" w:eastAsia="Times New Roman" w:hAnsi="Arial" w:cs="Arial"/>
                <w:b/>
                <w:bCs/>
                <w:color w:val="000000"/>
              </w:rPr>
              <w:t>avg</w:t>
            </w:r>
            <w:proofErr w:type="spellEnd"/>
            <w:r w:rsidRPr="0016314E">
              <w:rPr>
                <w:rFonts w:ascii="Arial" w:eastAsia="Times New Roman" w:hAnsi="Arial" w:cs="Arial"/>
                <w:b/>
                <w:bCs/>
                <w:color w:val="000000"/>
              </w:rPr>
              <w:t xml:space="preserve"> </w:t>
            </w:r>
            <w:r w:rsidRPr="0016314E">
              <w:rPr>
                <w:rFonts w:ascii="Arial" w:eastAsia="Times New Roman" w:hAnsi="Arial" w:cs="Arial"/>
                <w:b/>
                <w:bCs/>
                <w:color w:val="000000"/>
              </w:rPr>
              <w:br/>
              <w:t xml:space="preserve">yield to FLD </w:t>
            </w:r>
            <w:proofErr w:type="spellStart"/>
            <w:r w:rsidRPr="0016314E">
              <w:rPr>
                <w:rFonts w:ascii="Arial" w:eastAsia="Times New Roman" w:hAnsi="Arial" w:cs="Arial"/>
                <w:b/>
                <w:bCs/>
                <w:color w:val="000000"/>
              </w:rPr>
              <w:t>avg</w:t>
            </w:r>
            <w:proofErr w:type="spellEnd"/>
            <w:r w:rsidRPr="0016314E">
              <w:rPr>
                <w:rFonts w:ascii="Arial" w:eastAsia="Times New Roman" w:hAnsi="Arial" w:cs="Arial"/>
                <w:b/>
                <w:bCs/>
                <w:color w:val="000000"/>
              </w:rPr>
              <w:t xml:space="preserve"> yield</w:t>
            </w:r>
          </w:p>
        </w:tc>
      </w:tr>
      <w:tr w:rsidR="00005A66" w:rsidRPr="0016314E" w:rsidTr="00FB7114">
        <w:trPr>
          <w:trHeight w:val="665"/>
        </w:trPr>
        <w:tc>
          <w:tcPr>
            <w:tcW w:w="571" w:type="dxa"/>
            <w:vMerge/>
            <w:tcBorders>
              <w:top w:val="single" w:sz="8" w:space="0" w:color="auto"/>
              <w:left w:val="single" w:sz="8"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512"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145"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081"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050" w:type="dxa"/>
            <w:vMerge/>
            <w:tcBorders>
              <w:top w:val="single" w:sz="8" w:space="0" w:color="auto"/>
              <w:left w:val="single" w:sz="4" w:space="0" w:color="auto"/>
              <w:bottom w:val="single" w:sz="4" w:space="0" w:color="auto"/>
              <w:right w:val="single" w:sz="4" w:space="0" w:color="auto"/>
            </w:tcBorders>
            <w:vAlign w:val="center"/>
            <w:hideMark/>
          </w:tcPr>
          <w:p w:rsidR="0016314E" w:rsidRPr="0016314E" w:rsidRDefault="0016314E" w:rsidP="00005A66">
            <w:pPr>
              <w:pStyle w:val="NoSpacing"/>
              <w:rPr>
                <w:rFonts w:ascii="Arial" w:eastAsia="Times New Roman" w:hAnsi="Arial" w:cs="Arial"/>
                <w:sz w:val="24"/>
                <w:szCs w:val="24"/>
              </w:rPr>
            </w:pPr>
          </w:p>
        </w:tc>
        <w:tc>
          <w:tcPr>
            <w:tcW w:w="1171" w:type="dxa"/>
            <w:vMerge/>
            <w:tcBorders>
              <w:top w:val="single" w:sz="8" w:space="0" w:color="auto"/>
              <w:left w:val="single" w:sz="4" w:space="0" w:color="auto"/>
              <w:bottom w:val="single" w:sz="4" w:space="0" w:color="auto"/>
              <w:right w:val="single" w:sz="8" w:space="0" w:color="auto"/>
            </w:tcBorders>
            <w:vAlign w:val="center"/>
            <w:hideMark/>
          </w:tcPr>
          <w:p w:rsidR="0016314E" w:rsidRPr="0016314E" w:rsidRDefault="0016314E" w:rsidP="00005A66">
            <w:pPr>
              <w:spacing w:after="0" w:line="240" w:lineRule="auto"/>
              <w:rPr>
                <w:rFonts w:ascii="Arial" w:eastAsia="Times New Roman" w:hAnsi="Arial" w:cs="Arial"/>
                <w:b/>
                <w:bCs/>
                <w:color w:val="000000"/>
                <w:sz w:val="24"/>
                <w:szCs w:val="24"/>
              </w:rPr>
            </w:pP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Assam</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2.40</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1.37</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570</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1292</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3.78</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1.88</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721.54</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44.13</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2</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Bihar</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0.88</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0.93</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1050</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2398</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1.39</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1.28</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1347.79</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43.80</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3</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Chhattisgarh</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0.53</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0.23</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433</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1051</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0.83</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0.31</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617.97</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41.20</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4</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Gujarat</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2.31</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3.38</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1485</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3.64</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4.64</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0.00</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0.00</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5</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HP</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0.09</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0.04</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437</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941</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0.15</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0.06</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504.24</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46.40</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6</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Haryana</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5.25</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8.79</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1676</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2013</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8.29</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12.07</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337.19</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83.25</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7</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J&amp;K</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0.60</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0.50</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827</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1103</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0.95</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0.68</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275.83</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74.98</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8</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Jharkhand</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1.24</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0.84</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649</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960</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1.96</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1.15</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311.28</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67.58</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9</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MP</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7.64</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8.46</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1107</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12.05</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11.62</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0.00</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0.00</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10</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 xml:space="preserve">Maharashtra </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0.08</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0.03</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314</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482</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0.13</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0.04</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167.68</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65.21</w:t>
            </w:r>
          </w:p>
        </w:tc>
      </w:tr>
      <w:tr w:rsidR="00005A66" w:rsidRPr="0016314E" w:rsidTr="00FB7114">
        <w:trPr>
          <w:trHeight w:val="10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11</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Rajasthan</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28.33</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34.88</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1235</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1923</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44.69</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47.90</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688.30</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64.21</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12</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Punjab</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0.30</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0.39</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1277</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1842</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0.48</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0.53</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564.73</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69.34</w:t>
            </w:r>
          </w:p>
        </w:tc>
      </w:tr>
      <w:tr w:rsidR="00005A66" w:rsidRPr="0016314E" w:rsidTr="00FB7114">
        <w:trPr>
          <w:trHeight w:val="10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13</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UP</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6.80</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7.91</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1164</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1762</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10.73</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10.86</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597.84</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66.07</w:t>
            </w:r>
          </w:p>
        </w:tc>
      </w:tr>
      <w:tr w:rsidR="00005A66" w:rsidRPr="0016314E" w:rsidTr="00FB7114">
        <w:trPr>
          <w:trHeight w:val="81"/>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14</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Uttarakhand</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0.15</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0.13</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823</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1817</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0.24</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0.18</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994.39</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45.28</w:t>
            </w:r>
          </w:p>
        </w:tc>
      </w:tr>
      <w:tr w:rsidR="00005A66" w:rsidRPr="0016314E" w:rsidTr="00FB7114">
        <w:trPr>
          <w:trHeight w:val="7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15</w:t>
            </w:r>
          </w:p>
        </w:tc>
        <w:tc>
          <w:tcPr>
            <w:tcW w:w="1512"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WB</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4.24</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4.03</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951</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1698</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6.69</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5.54</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747.07</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55.99</w:t>
            </w:r>
          </w:p>
        </w:tc>
      </w:tr>
      <w:tr w:rsidR="00005A66" w:rsidRPr="0016314E" w:rsidTr="00FB7114">
        <w:trPr>
          <w:trHeight w:val="90"/>
        </w:trPr>
        <w:tc>
          <w:tcPr>
            <w:tcW w:w="208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314E" w:rsidRPr="0016314E" w:rsidRDefault="0016314E" w:rsidP="00005A66">
            <w:pPr>
              <w:pStyle w:val="NoSpacing"/>
              <w:rPr>
                <w:rFonts w:ascii="Arial" w:eastAsia="Times New Roman" w:hAnsi="Arial" w:cs="Arial"/>
              </w:rPr>
            </w:pPr>
            <w:r w:rsidRPr="0016314E">
              <w:rPr>
                <w:rFonts w:ascii="Arial" w:eastAsia="Times New Roman" w:hAnsi="Arial" w:cs="Arial"/>
              </w:rPr>
              <w:t xml:space="preserve">Others </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2.62</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0.96</w:t>
            </w:r>
          </w:p>
        </w:tc>
        <w:tc>
          <w:tcPr>
            <w:tcW w:w="1145"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754</w:t>
            </w:r>
          </w:p>
        </w:tc>
        <w:tc>
          <w:tcPr>
            <w:tcW w:w="108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w:t>
            </w:r>
          </w:p>
        </w:tc>
        <w:tc>
          <w:tcPr>
            <w:tcW w:w="1081"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4.13</w:t>
            </w:r>
          </w:p>
        </w:tc>
        <w:tc>
          <w:tcPr>
            <w:tcW w:w="1378"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1.32</w:t>
            </w:r>
          </w:p>
        </w:tc>
        <w:tc>
          <w:tcPr>
            <w:tcW w:w="1050" w:type="dxa"/>
            <w:tcBorders>
              <w:top w:val="nil"/>
              <w:left w:val="nil"/>
              <w:bottom w:val="single" w:sz="4" w:space="0" w:color="auto"/>
              <w:right w:val="single" w:sz="4" w:space="0" w:color="auto"/>
            </w:tcBorders>
            <w:shd w:val="clear" w:color="auto" w:fill="auto"/>
            <w:noWrap/>
            <w:vAlign w:val="center"/>
            <w:hideMark/>
          </w:tcPr>
          <w:p w:rsidR="0016314E" w:rsidRPr="0016314E" w:rsidRDefault="0016314E" w:rsidP="000E6B22">
            <w:pPr>
              <w:pStyle w:val="NoSpacing"/>
              <w:jc w:val="right"/>
              <w:rPr>
                <w:rFonts w:ascii="Arial" w:eastAsia="Times New Roman" w:hAnsi="Arial" w:cs="Arial"/>
              </w:rPr>
            </w:pPr>
            <w:r w:rsidRPr="0016314E">
              <w:rPr>
                <w:rFonts w:ascii="Arial" w:eastAsia="Times New Roman" w:hAnsi="Arial" w:cs="Arial"/>
              </w:rPr>
              <w:t>0.00</w:t>
            </w:r>
          </w:p>
        </w:tc>
        <w:tc>
          <w:tcPr>
            <w:tcW w:w="1171" w:type="dxa"/>
            <w:tcBorders>
              <w:top w:val="nil"/>
              <w:left w:val="nil"/>
              <w:bottom w:val="single" w:sz="4"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color w:val="000000"/>
              </w:rPr>
            </w:pPr>
            <w:r w:rsidRPr="0016314E">
              <w:rPr>
                <w:rFonts w:ascii="Arial" w:eastAsia="Times New Roman" w:hAnsi="Arial" w:cs="Arial"/>
                <w:color w:val="000000"/>
              </w:rPr>
              <w:t>0.00</w:t>
            </w:r>
          </w:p>
        </w:tc>
      </w:tr>
      <w:tr w:rsidR="00005A66" w:rsidRPr="0016314E" w:rsidTr="00FB7114">
        <w:trPr>
          <w:trHeight w:val="152"/>
        </w:trPr>
        <w:tc>
          <w:tcPr>
            <w:tcW w:w="208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6314E" w:rsidRPr="00005A66" w:rsidRDefault="0016314E" w:rsidP="00005A66">
            <w:pPr>
              <w:pStyle w:val="NoSpacing"/>
              <w:rPr>
                <w:rFonts w:ascii="Arial" w:eastAsia="Times New Roman" w:hAnsi="Arial" w:cs="Arial"/>
                <w:b/>
              </w:rPr>
            </w:pPr>
            <w:r w:rsidRPr="00005A66">
              <w:rPr>
                <w:rFonts w:ascii="Arial" w:eastAsia="Times New Roman" w:hAnsi="Arial" w:cs="Arial"/>
                <w:b/>
              </w:rPr>
              <w:t>All India</w:t>
            </w:r>
          </w:p>
        </w:tc>
        <w:tc>
          <w:tcPr>
            <w:tcW w:w="1080"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63.39</w:t>
            </w:r>
          </w:p>
        </w:tc>
        <w:tc>
          <w:tcPr>
            <w:tcW w:w="1378"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72.82</w:t>
            </w:r>
          </w:p>
        </w:tc>
        <w:tc>
          <w:tcPr>
            <w:tcW w:w="1145"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1173</w:t>
            </w:r>
          </w:p>
        </w:tc>
        <w:tc>
          <w:tcPr>
            <w:tcW w:w="1080"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1483</w:t>
            </w:r>
          </w:p>
        </w:tc>
        <w:tc>
          <w:tcPr>
            <w:tcW w:w="1081"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100.00</w:t>
            </w:r>
          </w:p>
        </w:tc>
        <w:tc>
          <w:tcPr>
            <w:tcW w:w="1378"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100.00</w:t>
            </w:r>
          </w:p>
        </w:tc>
        <w:tc>
          <w:tcPr>
            <w:tcW w:w="1050" w:type="dxa"/>
            <w:tcBorders>
              <w:top w:val="nil"/>
              <w:left w:val="nil"/>
              <w:bottom w:val="single" w:sz="8" w:space="0" w:color="auto"/>
              <w:right w:val="single" w:sz="4" w:space="0" w:color="auto"/>
            </w:tcBorders>
            <w:shd w:val="clear" w:color="auto" w:fill="auto"/>
            <w:noWrap/>
            <w:vAlign w:val="center"/>
            <w:hideMark/>
          </w:tcPr>
          <w:p w:rsidR="0016314E" w:rsidRPr="00005A66" w:rsidRDefault="0016314E" w:rsidP="000E6B22">
            <w:pPr>
              <w:pStyle w:val="NoSpacing"/>
              <w:jc w:val="right"/>
              <w:rPr>
                <w:rFonts w:ascii="Arial" w:eastAsia="Times New Roman" w:hAnsi="Arial" w:cs="Arial"/>
                <w:b/>
              </w:rPr>
            </w:pPr>
            <w:r w:rsidRPr="00005A66">
              <w:rPr>
                <w:rFonts w:ascii="Arial" w:eastAsia="Times New Roman" w:hAnsi="Arial" w:cs="Arial"/>
                <w:b/>
              </w:rPr>
              <w:t>310.09</w:t>
            </w:r>
          </w:p>
        </w:tc>
        <w:tc>
          <w:tcPr>
            <w:tcW w:w="1171" w:type="dxa"/>
            <w:tcBorders>
              <w:top w:val="nil"/>
              <w:left w:val="nil"/>
              <w:bottom w:val="single" w:sz="8" w:space="0" w:color="auto"/>
              <w:right w:val="single" w:sz="8" w:space="0" w:color="auto"/>
            </w:tcBorders>
            <w:shd w:val="clear" w:color="auto" w:fill="auto"/>
            <w:noWrap/>
            <w:vAlign w:val="center"/>
            <w:hideMark/>
          </w:tcPr>
          <w:p w:rsidR="0016314E" w:rsidRPr="0016314E" w:rsidRDefault="0016314E" w:rsidP="000E6B22">
            <w:pPr>
              <w:spacing w:after="0" w:line="240" w:lineRule="auto"/>
              <w:jc w:val="right"/>
              <w:rPr>
                <w:rFonts w:ascii="Arial" w:eastAsia="Times New Roman" w:hAnsi="Arial" w:cs="Arial"/>
                <w:b/>
                <w:bCs/>
                <w:color w:val="000000"/>
              </w:rPr>
            </w:pPr>
            <w:r w:rsidRPr="0016314E">
              <w:rPr>
                <w:rFonts w:ascii="Arial" w:eastAsia="Times New Roman" w:hAnsi="Arial" w:cs="Arial"/>
                <w:b/>
                <w:bCs/>
                <w:color w:val="000000"/>
              </w:rPr>
              <w:t>79.09</w:t>
            </w:r>
          </w:p>
        </w:tc>
      </w:tr>
    </w:tbl>
    <w:p w:rsidR="0016314E" w:rsidRPr="00005A66" w:rsidRDefault="00005A66" w:rsidP="00005A66">
      <w:pPr>
        <w:pStyle w:val="NoSpacing"/>
        <w:jc w:val="center"/>
        <w:rPr>
          <w:b/>
          <w:sz w:val="4"/>
        </w:rPr>
      </w:pPr>
      <w:r>
        <w:rPr>
          <w:b/>
          <w:sz w:val="30"/>
        </w:rPr>
        <w:br w:type="textWrapping" w:clear="all"/>
      </w:r>
    </w:p>
    <w:p w:rsidR="0016314E" w:rsidRDefault="0016314E" w:rsidP="0016314E">
      <w:pPr>
        <w:pStyle w:val="NoSpacing"/>
        <w:jc w:val="center"/>
        <w:rPr>
          <w:b/>
          <w:sz w:val="30"/>
        </w:rPr>
      </w:pPr>
    </w:p>
    <w:p w:rsidR="0016314E" w:rsidRPr="0016314E" w:rsidRDefault="0016314E" w:rsidP="0016314E">
      <w:pPr>
        <w:pStyle w:val="NoSpacing"/>
        <w:jc w:val="center"/>
        <w:rPr>
          <w:b/>
          <w:sz w:val="30"/>
        </w:rPr>
      </w:pPr>
    </w:p>
    <w:p w:rsidR="008F4CD8" w:rsidRDefault="008232E2" w:rsidP="008F4CD8">
      <w:pPr>
        <w:jc w:val="center"/>
      </w:pPr>
      <w:r w:rsidRPr="008232E2">
        <w:rPr>
          <w:noProof/>
          <w:lang w:val="en-IN" w:eastAsia="en-IN"/>
        </w:rPr>
        <w:drawing>
          <wp:inline distT="0" distB="0" distL="0" distR="0">
            <wp:extent cx="6617131" cy="3108960"/>
            <wp:effectExtent l="19050" t="0" r="1226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15B18" w:rsidRDefault="008F4CD8" w:rsidP="008F4CD8">
      <w:pPr>
        <w:jc w:val="center"/>
      </w:pPr>
      <w:r w:rsidRPr="008F4CD8">
        <w:rPr>
          <w:b/>
          <w:sz w:val="26"/>
        </w:rPr>
        <w:t>Fig</w:t>
      </w:r>
      <w:r w:rsidR="000E6B22">
        <w:rPr>
          <w:b/>
          <w:sz w:val="26"/>
        </w:rPr>
        <w:t xml:space="preserve">ure </w:t>
      </w:r>
      <w:r w:rsidRPr="008F4CD8">
        <w:rPr>
          <w:b/>
          <w:sz w:val="26"/>
        </w:rPr>
        <w:t>1</w:t>
      </w:r>
      <w:r w:rsidR="00415B18">
        <w:br w:type="page"/>
      </w:r>
      <w:r w:rsidR="00F86F70" w:rsidRPr="00F86F70">
        <w:rPr>
          <w:noProof/>
          <w:lang w:val="en-IN" w:eastAsia="en-IN"/>
        </w:rPr>
        <w:lastRenderedPageBreak/>
        <w:drawing>
          <wp:inline distT="0" distB="0" distL="0" distR="0">
            <wp:extent cx="6115050" cy="31432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32E2" w:rsidRDefault="008F4CD8" w:rsidP="008232E2">
      <w:pPr>
        <w:jc w:val="center"/>
        <w:rPr>
          <w:b/>
          <w:sz w:val="26"/>
        </w:rPr>
      </w:pPr>
      <w:r w:rsidRPr="008F4CD8">
        <w:rPr>
          <w:b/>
          <w:sz w:val="26"/>
        </w:rPr>
        <w:t>Fig</w:t>
      </w:r>
      <w:r w:rsidR="000E6B22">
        <w:rPr>
          <w:b/>
          <w:sz w:val="26"/>
        </w:rPr>
        <w:t xml:space="preserve">ure </w:t>
      </w:r>
      <w:r w:rsidRPr="008F4CD8">
        <w:rPr>
          <w:b/>
          <w:sz w:val="26"/>
        </w:rPr>
        <w:t>2</w:t>
      </w:r>
    </w:p>
    <w:p w:rsidR="000E6B22" w:rsidRDefault="000E6B22" w:rsidP="008232E2">
      <w:pPr>
        <w:jc w:val="center"/>
        <w:rPr>
          <w:b/>
          <w:sz w:val="26"/>
        </w:rPr>
      </w:pPr>
    </w:p>
    <w:p w:rsidR="008F4CD8" w:rsidRDefault="003861AF" w:rsidP="008232E2">
      <w:pPr>
        <w:jc w:val="center"/>
        <w:rPr>
          <w:b/>
          <w:sz w:val="26"/>
        </w:rPr>
      </w:pPr>
      <w:r w:rsidRPr="003861AF">
        <w:rPr>
          <w:b/>
          <w:noProof/>
          <w:sz w:val="26"/>
          <w:lang w:val="en-IN" w:eastAsia="en-IN"/>
        </w:rPr>
        <w:drawing>
          <wp:inline distT="0" distB="0" distL="0" distR="0">
            <wp:extent cx="6286500" cy="37338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0FD0" w:rsidRDefault="003861AF" w:rsidP="008232E2">
      <w:pPr>
        <w:jc w:val="center"/>
        <w:rPr>
          <w:b/>
          <w:sz w:val="26"/>
        </w:rPr>
      </w:pPr>
      <w:r>
        <w:rPr>
          <w:b/>
          <w:sz w:val="26"/>
        </w:rPr>
        <w:t>Fig</w:t>
      </w:r>
      <w:r w:rsidR="000E6B22">
        <w:rPr>
          <w:b/>
          <w:sz w:val="26"/>
        </w:rPr>
        <w:t xml:space="preserve">ure </w:t>
      </w:r>
      <w:r>
        <w:rPr>
          <w:b/>
          <w:sz w:val="26"/>
        </w:rPr>
        <w:t>3</w:t>
      </w:r>
    </w:p>
    <w:p w:rsidR="005C0FD0" w:rsidRDefault="005C0FD0">
      <w:pPr>
        <w:rPr>
          <w:b/>
          <w:sz w:val="26"/>
        </w:rPr>
      </w:pPr>
    </w:p>
    <w:sectPr w:rsidR="005C0FD0" w:rsidSect="00684D40">
      <w:pgSz w:w="12240" w:h="15840"/>
      <w:pgMar w:top="900" w:right="288" w:bottom="115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7F7"/>
    <w:multiLevelType w:val="hybridMultilevel"/>
    <w:tmpl w:val="91B2D940"/>
    <w:lvl w:ilvl="0" w:tplc="FB0A63C2">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77BD5"/>
    <w:rsid w:val="00005A66"/>
    <w:rsid w:val="00023B42"/>
    <w:rsid w:val="00025658"/>
    <w:rsid w:val="00030F02"/>
    <w:rsid w:val="00082145"/>
    <w:rsid w:val="000E6B22"/>
    <w:rsid w:val="00110223"/>
    <w:rsid w:val="0014780E"/>
    <w:rsid w:val="00157216"/>
    <w:rsid w:val="0016314E"/>
    <w:rsid w:val="001636BF"/>
    <w:rsid w:val="001A314E"/>
    <w:rsid w:val="001E435F"/>
    <w:rsid w:val="00246641"/>
    <w:rsid w:val="0029165B"/>
    <w:rsid w:val="002A1C88"/>
    <w:rsid w:val="002B2386"/>
    <w:rsid w:val="002D06F8"/>
    <w:rsid w:val="00304BED"/>
    <w:rsid w:val="003267BD"/>
    <w:rsid w:val="003324B1"/>
    <w:rsid w:val="003803F7"/>
    <w:rsid w:val="003861AF"/>
    <w:rsid w:val="003A1ECB"/>
    <w:rsid w:val="00401279"/>
    <w:rsid w:val="00406FF6"/>
    <w:rsid w:val="00415B18"/>
    <w:rsid w:val="00422D1C"/>
    <w:rsid w:val="00423484"/>
    <w:rsid w:val="0047535B"/>
    <w:rsid w:val="00564E70"/>
    <w:rsid w:val="005955FD"/>
    <w:rsid w:val="005B03AE"/>
    <w:rsid w:val="005C0FD0"/>
    <w:rsid w:val="005E25ED"/>
    <w:rsid w:val="005E7B77"/>
    <w:rsid w:val="006172E0"/>
    <w:rsid w:val="006520A3"/>
    <w:rsid w:val="00654ADB"/>
    <w:rsid w:val="00655539"/>
    <w:rsid w:val="00684D40"/>
    <w:rsid w:val="00686F01"/>
    <w:rsid w:val="006C59D6"/>
    <w:rsid w:val="006D6441"/>
    <w:rsid w:val="0073261C"/>
    <w:rsid w:val="00733151"/>
    <w:rsid w:val="00777BD5"/>
    <w:rsid w:val="007D319D"/>
    <w:rsid w:val="00821628"/>
    <w:rsid w:val="008232E2"/>
    <w:rsid w:val="00851ECC"/>
    <w:rsid w:val="00857BD0"/>
    <w:rsid w:val="008A103B"/>
    <w:rsid w:val="008E6988"/>
    <w:rsid w:val="008F4CD8"/>
    <w:rsid w:val="00943866"/>
    <w:rsid w:val="009561A5"/>
    <w:rsid w:val="009713BB"/>
    <w:rsid w:val="00984A1A"/>
    <w:rsid w:val="00985D7A"/>
    <w:rsid w:val="009A115D"/>
    <w:rsid w:val="009C0D76"/>
    <w:rsid w:val="009E6A0C"/>
    <w:rsid w:val="00A206AB"/>
    <w:rsid w:val="00A31960"/>
    <w:rsid w:val="00A44C27"/>
    <w:rsid w:val="00A83EEC"/>
    <w:rsid w:val="00AD13EC"/>
    <w:rsid w:val="00B06958"/>
    <w:rsid w:val="00B34471"/>
    <w:rsid w:val="00B7497D"/>
    <w:rsid w:val="00B959E6"/>
    <w:rsid w:val="00BE0EED"/>
    <w:rsid w:val="00BE28B9"/>
    <w:rsid w:val="00C1319E"/>
    <w:rsid w:val="00C80386"/>
    <w:rsid w:val="00CD32F1"/>
    <w:rsid w:val="00D261E2"/>
    <w:rsid w:val="00D80EDF"/>
    <w:rsid w:val="00D975F7"/>
    <w:rsid w:val="00DC593C"/>
    <w:rsid w:val="00E33023"/>
    <w:rsid w:val="00ED7842"/>
    <w:rsid w:val="00F01836"/>
    <w:rsid w:val="00F23C41"/>
    <w:rsid w:val="00F339D0"/>
    <w:rsid w:val="00F64CAA"/>
    <w:rsid w:val="00F86F70"/>
    <w:rsid w:val="00FB633B"/>
    <w:rsid w:val="00FB7114"/>
    <w:rsid w:val="00FC1A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2E2"/>
    <w:pPr>
      <w:spacing w:after="0" w:line="240" w:lineRule="auto"/>
    </w:pPr>
  </w:style>
  <w:style w:type="paragraph" w:styleId="BalloonText">
    <w:name w:val="Balloon Text"/>
    <w:basedOn w:val="Normal"/>
    <w:link w:val="BalloonTextChar"/>
    <w:uiPriority w:val="99"/>
    <w:semiHidden/>
    <w:unhideWhenUsed/>
    <w:rsid w:val="0082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E2"/>
    <w:rPr>
      <w:rFonts w:ascii="Tahoma" w:hAnsi="Tahoma" w:cs="Tahoma"/>
      <w:sz w:val="16"/>
      <w:szCs w:val="16"/>
    </w:rPr>
  </w:style>
  <w:style w:type="paragraph" w:styleId="ListParagraph">
    <w:name w:val="List Paragraph"/>
    <w:basedOn w:val="Normal"/>
    <w:uiPriority w:val="34"/>
    <w:qFormat/>
    <w:rsid w:val="00B959E6"/>
    <w:pPr>
      <w:ind w:left="720"/>
      <w:contextualSpacing/>
    </w:pPr>
  </w:style>
  <w:style w:type="character" w:styleId="FollowedHyperlink">
    <w:name w:val="FollowedHyperlink"/>
    <w:basedOn w:val="DefaultParagraphFont"/>
    <w:uiPriority w:val="99"/>
    <w:semiHidden/>
    <w:unhideWhenUsed/>
    <w:rsid w:val="000821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143549">
      <w:bodyDiv w:val="1"/>
      <w:marLeft w:val="0"/>
      <w:marRight w:val="0"/>
      <w:marTop w:val="0"/>
      <w:marBottom w:val="0"/>
      <w:divBdr>
        <w:top w:val="none" w:sz="0" w:space="0" w:color="auto"/>
        <w:left w:val="none" w:sz="0" w:space="0" w:color="auto"/>
        <w:bottom w:val="none" w:sz="0" w:space="0" w:color="auto"/>
        <w:right w:val="none" w:sz="0" w:space="0" w:color="auto"/>
      </w:divBdr>
    </w:div>
    <w:div w:id="649940437">
      <w:bodyDiv w:val="1"/>
      <w:marLeft w:val="0"/>
      <w:marRight w:val="0"/>
      <w:marTop w:val="0"/>
      <w:marBottom w:val="0"/>
      <w:divBdr>
        <w:top w:val="none" w:sz="0" w:space="0" w:color="auto"/>
        <w:left w:val="none" w:sz="0" w:space="0" w:color="auto"/>
        <w:bottom w:val="none" w:sz="0" w:space="0" w:color="auto"/>
        <w:right w:val="none" w:sz="0" w:space="0" w:color="auto"/>
      </w:divBdr>
    </w:div>
    <w:div w:id="855852049">
      <w:bodyDiv w:val="1"/>
      <w:marLeft w:val="0"/>
      <w:marRight w:val="0"/>
      <w:marTop w:val="0"/>
      <w:marBottom w:val="0"/>
      <w:divBdr>
        <w:top w:val="none" w:sz="0" w:space="0" w:color="auto"/>
        <w:left w:val="none" w:sz="0" w:space="0" w:color="auto"/>
        <w:bottom w:val="none" w:sz="0" w:space="0" w:color="auto"/>
        <w:right w:val="none" w:sz="0" w:space="0" w:color="auto"/>
      </w:divBdr>
    </w:div>
    <w:div w:id="1832866892">
      <w:bodyDiv w:val="1"/>
      <w:marLeft w:val="0"/>
      <w:marRight w:val="0"/>
      <w:marTop w:val="0"/>
      <w:marBottom w:val="0"/>
      <w:divBdr>
        <w:top w:val="none" w:sz="0" w:space="0" w:color="auto"/>
        <w:left w:val="none" w:sz="0" w:space="0" w:color="auto"/>
        <w:bottom w:val="none" w:sz="0" w:space="0" w:color="auto"/>
        <w:right w:val="none" w:sz="0" w:space="0" w:color="auto"/>
      </w:divBdr>
    </w:div>
    <w:div w:id="20250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FLDs\Analysis%20of%20mustard%20FL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FLDs\Analysis%20of%20mustard%20FL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FLDs\Analysis%20of%20mustard%20FL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4848086018233309"/>
          <c:y val="0.19906189734354637"/>
          <c:w val="0.6693187264635424"/>
          <c:h val="0.45457677165354365"/>
        </c:manualLayout>
      </c:layout>
      <c:barChart>
        <c:barDir val="col"/>
        <c:grouping val="clustered"/>
        <c:ser>
          <c:idx val="0"/>
          <c:order val="0"/>
          <c:tx>
            <c:strRef>
              <c:f>'graph of state avg yield and fl'!$B$5</c:f>
              <c:strCache>
                <c:ptCount val="1"/>
                <c:pt idx="0">
                  <c:v>State avg yield
(kg/ha)</c:v>
                </c:pt>
              </c:strCache>
            </c:strRef>
          </c:tx>
          <c:cat>
            <c:strRef>
              <c:f>'graph of state avg yield and fl'!$A$6:$A$22</c:f>
              <c:strCache>
                <c:ptCount val="17"/>
                <c:pt idx="0">
                  <c:v>Assam</c:v>
                </c:pt>
                <c:pt idx="1">
                  <c:v>Bihar</c:v>
                </c:pt>
                <c:pt idx="2">
                  <c:v>Chhattisgarh</c:v>
                </c:pt>
                <c:pt idx="3">
                  <c:v>Gujarat</c:v>
                </c:pt>
                <c:pt idx="4">
                  <c:v>HP</c:v>
                </c:pt>
                <c:pt idx="5">
                  <c:v>Haryana</c:v>
                </c:pt>
                <c:pt idx="6">
                  <c:v>J&amp;K</c:v>
                </c:pt>
                <c:pt idx="7">
                  <c:v>Jharkhand</c:v>
                </c:pt>
                <c:pt idx="8">
                  <c:v>MP</c:v>
                </c:pt>
                <c:pt idx="9">
                  <c:v>Maharashtra </c:v>
                </c:pt>
                <c:pt idx="10">
                  <c:v>Rajasthan</c:v>
                </c:pt>
                <c:pt idx="11">
                  <c:v>Punjab</c:v>
                </c:pt>
                <c:pt idx="12">
                  <c:v>UP</c:v>
                </c:pt>
                <c:pt idx="13">
                  <c:v>Uttarakhand</c:v>
                </c:pt>
                <c:pt idx="14">
                  <c:v>WB</c:v>
                </c:pt>
                <c:pt idx="15">
                  <c:v>Others</c:v>
                </c:pt>
                <c:pt idx="16">
                  <c:v>All India</c:v>
                </c:pt>
              </c:strCache>
            </c:strRef>
          </c:cat>
          <c:val>
            <c:numRef>
              <c:f>'graph of state avg yield and fl'!$B$6:$B$22</c:f>
              <c:numCache>
                <c:formatCode>0</c:formatCode>
                <c:ptCount val="17"/>
                <c:pt idx="0">
                  <c:v>569.95743099724837</c:v>
                </c:pt>
                <c:pt idx="1">
                  <c:v>1050.4604388174325</c:v>
                </c:pt>
                <c:pt idx="2">
                  <c:v>433.02564102564162</c:v>
                </c:pt>
                <c:pt idx="3">
                  <c:v>1485.3324573505292</c:v>
                </c:pt>
                <c:pt idx="4">
                  <c:v>436.51470682291176</c:v>
                </c:pt>
                <c:pt idx="5">
                  <c:v>1675.8148743505142</c:v>
                </c:pt>
                <c:pt idx="6">
                  <c:v>826.66666666666674</c:v>
                </c:pt>
                <c:pt idx="7">
                  <c:v>648.72102949655948</c:v>
                </c:pt>
                <c:pt idx="8">
                  <c:v>1106.976323035587</c:v>
                </c:pt>
                <c:pt idx="9">
                  <c:v>314.31623931623869</c:v>
                </c:pt>
                <c:pt idx="10">
                  <c:v>1234.699184940564</c:v>
                </c:pt>
                <c:pt idx="11">
                  <c:v>1277.0741637403951</c:v>
                </c:pt>
                <c:pt idx="12">
                  <c:v>1164.161865372768</c:v>
                </c:pt>
                <c:pt idx="13">
                  <c:v>822.80701754385939</c:v>
                </c:pt>
                <c:pt idx="14">
                  <c:v>950.5936776077067</c:v>
                </c:pt>
                <c:pt idx="15">
                  <c:v>753.76105057770303</c:v>
                </c:pt>
                <c:pt idx="16">
                  <c:v>1173.0395910727407</c:v>
                </c:pt>
              </c:numCache>
            </c:numRef>
          </c:val>
        </c:ser>
        <c:ser>
          <c:idx val="1"/>
          <c:order val="1"/>
          <c:tx>
            <c:strRef>
              <c:f>'graph of state avg yield and fl'!$C$5</c:f>
              <c:strCache>
                <c:ptCount val="1"/>
                <c:pt idx="0">
                  <c:v>FLD avg Yield
(kg/ha)</c:v>
                </c:pt>
              </c:strCache>
            </c:strRef>
          </c:tx>
          <c:cat>
            <c:strRef>
              <c:f>'graph of state avg yield and fl'!$A$6:$A$22</c:f>
              <c:strCache>
                <c:ptCount val="17"/>
                <c:pt idx="0">
                  <c:v>Assam</c:v>
                </c:pt>
                <c:pt idx="1">
                  <c:v>Bihar</c:v>
                </c:pt>
                <c:pt idx="2">
                  <c:v>Chhattisgarh</c:v>
                </c:pt>
                <c:pt idx="3">
                  <c:v>Gujarat</c:v>
                </c:pt>
                <c:pt idx="4">
                  <c:v>HP</c:v>
                </c:pt>
                <c:pt idx="5">
                  <c:v>Haryana</c:v>
                </c:pt>
                <c:pt idx="6">
                  <c:v>J&amp;K</c:v>
                </c:pt>
                <c:pt idx="7">
                  <c:v>Jharkhand</c:v>
                </c:pt>
                <c:pt idx="8">
                  <c:v>MP</c:v>
                </c:pt>
                <c:pt idx="9">
                  <c:v>Maharashtra </c:v>
                </c:pt>
                <c:pt idx="10">
                  <c:v>Rajasthan</c:v>
                </c:pt>
                <c:pt idx="11">
                  <c:v>Punjab</c:v>
                </c:pt>
                <c:pt idx="12">
                  <c:v>UP</c:v>
                </c:pt>
                <c:pt idx="13">
                  <c:v>Uttarakhand</c:v>
                </c:pt>
                <c:pt idx="14">
                  <c:v>WB</c:v>
                </c:pt>
                <c:pt idx="15">
                  <c:v>Others</c:v>
                </c:pt>
                <c:pt idx="16">
                  <c:v>All India</c:v>
                </c:pt>
              </c:strCache>
            </c:strRef>
          </c:cat>
          <c:val>
            <c:numRef>
              <c:f>'graph of state avg yield and fl'!$C$6:$C$22</c:f>
              <c:numCache>
                <c:formatCode>0</c:formatCode>
                <c:ptCount val="17"/>
                <c:pt idx="0">
                  <c:v>1291.5</c:v>
                </c:pt>
                <c:pt idx="1">
                  <c:v>2398.25</c:v>
                </c:pt>
                <c:pt idx="2">
                  <c:v>1051</c:v>
                </c:pt>
                <c:pt idx="3">
                  <c:v>0</c:v>
                </c:pt>
                <c:pt idx="4">
                  <c:v>940.75</c:v>
                </c:pt>
                <c:pt idx="5">
                  <c:v>2013</c:v>
                </c:pt>
                <c:pt idx="6">
                  <c:v>1102.5</c:v>
                </c:pt>
                <c:pt idx="7">
                  <c:v>960</c:v>
                </c:pt>
                <c:pt idx="8">
                  <c:v>0</c:v>
                </c:pt>
                <c:pt idx="9">
                  <c:v>482</c:v>
                </c:pt>
                <c:pt idx="10">
                  <c:v>1923</c:v>
                </c:pt>
                <c:pt idx="11">
                  <c:v>1841.8</c:v>
                </c:pt>
                <c:pt idx="12">
                  <c:v>1762</c:v>
                </c:pt>
                <c:pt idx="13">
                  <c:v>1817.2</c:v>
                </c:pt>
                <c:pt idx="14">
                  <c:v>1697.6666666666667</c:v>
                </c:pt>
                <c:pt idx="15" formatCode="General">
                  <c:v>0</c:v>
                </c:pt>
                <c:pt idx="16" formatCode="General">
                  <c:v>1483</c:v>
                </c:pt>
              </c:numCache>
            </c:numRef>
          </c:val>
        </c:ser>
        <c:axId val="109666688"/>
        <c:axId val="109668224"/>
      </c:barChart>
      <c:catAx>
        <c:axId val="109666688"/>
        <c:scaling>
          <c:orientation val="minMax"/>
        </c:scaling>
        <c:axPos val="b"/>
        <c:tickLblPos val="nextTo"/>
        <c:txPr>
          <a:bodyPr/>
          <a:lstStyle/>
          <a:p>
            <a:pPr>
              <a:defRPr lang="en-US" b="0" i="0"/>
            </a:pPr>
            <a:endParaRPr lang="en-US"/>
          </a:p>
        </c:txPr>
        <c:crossAx val="109668224"/>
        <c:crosses val="autoZero"/>
        <c:auto val="1"/>
        <c:lblAlgn val="ctr"/>
        <c:lblOffset val="100"/>
      </c:catAx>
      <c:valAx>
        <c:axId val="109668224"/>
        <c:scaling>
          <c:orientation val="minMax"/>
        </c:scaling>
        <c:axPos val="l"/>
        <c:numFmt formatCode="0" sourceLinked="1"/>
        <c:tickLblPos val="nextTo"/>
        <c:txPr>
          <a:bodyPr/>
          <a:lstStyle/>
          <a:p>
            <a:pPr>
              <a:defRPr lang="en-US"/>
            </a:pPr>
            <a:endParaRPr lang="en-US"/>
          </a:p>
        </c:txPr>
        <c:crossAx val="109666688"/>
        <c:crosses val="autoZero"/>
        <c:crossBetween val="between"/>
      </c:valAx>
    </c:plotArea>
    <c:legend>
      <c:legendPos val="r"/>
      <c:layout>
        <c:manualLayout>
          <c:xMode val="edge"/>
          <c:yMode val="edge"/>
          <c:x val="0.85502946550049386"/>
          <c:y val="0.42729759437041581"/>
          <c:w val="0.11354152385619509"/>
          <c:h val="0.31441295621410054"/>
        </c:manualLayout>
      </c:layout>
      <c:txPr>
        <a:bodyPr/>
        <a:lstStyle/>
        <a:p>
          <a:pPr>
            <a:defRPr lang="en-US"/>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200" b="1">
                <a:latin typeface="Arial" pitchFamily="34" charset="0"/>
                <a:cs typeface="Arial" pitchFamily="34" charset="0"/>
              </a:rPr>
              <a:t>Average yield gap between</a:t>
            </a:r>
            <a:r>
              <a:rPr lang="en-US" sz="1200" b="1" baseline="0">
                <a:latin typeface="Arial" pitchFamily="34" charset="0"/>
                <a:cs typeface="Arial" pitchFamily="34" charset="0"/>
              </a:rPr>
              <a:t> </a:t>
            </a:r>
            <a:r>
              <a:rPr lang="en-US" sz="1200" b="1">
                <a:latin typeface="Arial" pitchFamily="34" charset="0"/>
                <a:cs typeface="Arial" pitchFamily="34" charset="0"/>
              </a:rPr>
              <a:t>state average yield and FLD average yield of rapeseed-mustard </a:t>
            </a:r>
          </a:p>
        </c:rich>
      </c:tx>
    </c:title>
    <c:plotArea>
      <c:layout>
        <c:manualLayout>
          <c:layoutTarget val="inner"/>
          <c:xMode val="edge"/>
          <c:yMode val="edge"/>
          <c:x val="0.1403704324193519"/>
          <c:y val="0.18255678773137696"/>
          <c:w val="0.83882578507473804"/>
          <c:h val="0.53614516771790832"/>
        </c:manualLayout>
      </c:layout>
      <c:barChart>
        <c:barDir val="col"/>
        <c:grouping val="clustered"/>
        <c:ser>
          <c:idx val="0"/>
          <c:order val="0"/>
          <c:tx>
            <c:strRef>
              <c:f>Sheet1!$C$2:$C$3</c:f>
              <c:strCache>
                <c:ptCount val="1"/>
                <c:pt idx="0">
                  <c:v>Avg. yield gap between
 state avg yield and FLD avg yield of rapeseed-mustard State avg yield
(kg/ha)</c:v>
                </c:pt>
              </c:strCache>
            </c:strRef>
          </c:tx>
          <c:cat>
            <c:strRef>
              <c:f>Sheet1!$B$4:$B$17</c:f>
              <c:strCache>
                <c:ptCount val="14"/>
                <c:pt idx="0">
                  <c:v>Bihar</c:v>
                </c:pt>
                <c:pt idx="1">
                  <c:v>Uttarakhand</c:v>
                </c:pt>
                <c:pt idx="2">
                  <c:v>WB</c:v>
                </c:pt>
                <c:pt idx="3">
                  <c:v>Assam</c:v>
                </c:pt>
                <c:pt idx="4">
                  <c:v>Rajasthan</c:v>
                </c:pt>
                <c:pt idx="5">
                  <c:v>Chhattisgarh</c:v>
                </c:pt>
                <c:pt idx="6">
                  <c:v>UP</c:v>
                </c:pt>
                <c:pt idx="7">
                  <c:v>Punjab</c:v>
                </c:pt>
                <c:pt idx="8">
                  <c:v>HP</c:v>
                </c:pt>
                <c:pt idx="9">
                  <c:v>Haryana</c:v>
                </c:pt>
                <c:pt idx="10">
                  <c:v>Jharkhand</c:v>
                </c:pt>
                <c:pt idx="11">
                  <c:v>J&amp;K</c:v>
                </c:pt>
                <c:pt idx="12">
                  <c:v>Maharashtra </c:v>
                </c:pt>
                <c:pt idx="13">
                  <c:v>All India</c:v>
                </c:pt>
              </c:strCache>
            </c:strRef>
          </c:cat>
          <c:val>
            <c:numRef>
              <c:f>Sheet1!$C$4:$C$17</c:f>
              <c:numCache>
                <c:formatCode>0.00</c:formatCode>
                <c:ptCount val="14"/>
                <c:pt idx="0">
                  <c:v>1347.7895611825663</c:v>
                </c:pt>
                <c:pt idx="1">
                  <c:v>994.39298245614054</c:v>
                </c:pt>
                <c:pt idx="2">
                  <c:v>747.07298905896153</c:v>
                </c:pt>
                <c:pt idx="3">
                  <c:v>721.54256900275027</c:v>
                </c:pt>
                <c:pt idx="4">
                  <c:v>688.30081505943599</c:v>
                </c:pt>
                <c:pt idx="5">
                  <c:v>617.97435897436003</c:v>
                </c:pt>
                <c:pt idx="6">
                  <c:v>597.83813462723253</c:v>
                </c:pt>
                <c:pt idx="7">
                  <c:v>564.72583625960783</c:v>
                </c:pt>
                <c:pt idx="8">
                  <c:v>504.23529317708824</c:v>
                </c:pt>
                <c:pt idx="9">
                  <c:v>337.18512564948583</c:v>
                </c:pt>
                <c:pt idx="10">
                  <c:v>311.27897050344041</c:v>
                </c:pt>
                <c:pt idx="11">
                  <c:v>275.83333333333331</c:v>
                </c:pt>
                <c:pt idx="12">
                  <c:v>167.6837606837604</c:v>
                </c:pt>
                <c:pt idx="13">
                  <c:v>310.08861405546725</c:v>
                </c:pt>
              </c:numCache>
            </c:numRef>
          </c:val>
        </c:ser>
        <c:axId val="121881728"/>
        <c:axId val="121883264"/>
      </c:barChart>
      <c:catAx>
        <c:axId val="121881728"/>
        <c:scaling>
          <c:orientation val="minMax"/>
        </c:scaling>
        <c:axPos val="b"/>
        <c:tickLblPos val="nextTo"/>
        <c:txPr>
          <a:bodyPr/>
          <a:lstStyle/>
          <a:p>
            <a:pPr>
              <a:defRPr lang="en-US"/>
            </a:pPr>
            <a:endParaRPr lang="en-US"/>
          </a:p>
        </c:txPr>
        <c:crossAx val="121883264"/>
        <c:crosses val="autoZero"/>
        <c:auto val="1"/>
        <c:lblAlgn val="ctr"/>
        <c:lblOffset val="100"/>
      </c:catAx>
      <c:valAx>
        <c:axId val="121883264"/>
        <c:scaling>
          <c:orientation val="minMax"/>
        </c:scaling>
        <c:axPos val="l"/>
        <c:numFmt formatCode="0.00" sourceLinked="1"/>
        <c:tickLblPos val="nextTo"/>
        <c:txPr>
          <a:bodyPr/>
          <a:lstStyle/>
          <a:p>
            <a:pPr>
              <a:defRPr lang="en-US"/>
            </a:pPr>
            <a:endParaRPr lang="en-US"/>
          </a:p>
        </c:txPr>
        <c:crossAx val="121881728"/>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100">
                <a:latin typeface="Arial" pitchFamily="34" charset="0"/>
                <a:cs typeface="Arial" pitchFamily="34" charset="0"/>
              </a:rPr>
              <a:t>Percent  yield potential of FLDs realized in the state avg. yield of rapeseed-mustard % of state avg yield to FLD avg yield</a:t>
            </a:r>
          </a:p>
        </c:rich>
      </c:tx>
    </c:title>
    <c:plotArea>
      <c:layout>
        <c:manualLayout>
          <c:layoutTarget val="inner"/>
          <c:xMode val="edge"/>
          <c:yMode val="edge"/>
          <c:x val="0.15546297621888175"/>
          <c:y val="0.31094968762707553"/>
          <c:w val="0.81654720432673189"/>
          <c:h val="0.39890427489667357"/>
        </c:manualLayout>
      </c:layout>
      <c:lineChart>
        <c:grouping val="standard"/>
        <c:ser>
          <c:idx val="0"/>
          <c:order val="0"/>
          <c:tx>
            <c:strRef>
              <c:f>Sheet2!$B$4:$B$5</c:f>
              <c:strCache>
                <c:ptCount val="1"/>
                <c:pt idx="0">
                  <c:v>Percent  yield potential of 
FLDs realized in the state avg. yield of rapeseed-mustard % of state avg 
yield to FLD avg yield</c:v>
                </c:pt>
              </c:strCache>
            </c:strRef>
          </c:tx>
          <c:marker>
            <c:symbol val="none"/>
          </c:marker>
          <c:cat>
            <c:strRef>
              <c:f>Sheet2!$A$6:$A$19</c:f>
              <c:strCache>
                <c:ptCount val="14"/>
                <c:pt idx="0">
                  <c:v>Haryana</c:v>
                </c:pt>
                <c:pt idx="1">
                  <c:v>J&amp;K</c:v>
                </c:pt>
                <c:pt idx="2">
                  <c:v>Punjab</c:v>
                </c:pt>
                <c:pt idx="3">
                  <c:v>Jharkhand</c:v>
                </c:pt>
                <c:pt idx="4">
                  <c:v>UP</c:v>
                </c:pt>
                <c:pt idx="5">
                  <c:v>Maharashtra </c:v>
                </c:pt>
                <c:pt idx="6">
                  <c:v>Rajasthan</c:v>
                </c:pt>
                <c:pt idx="7">
                  <c:v>WB</c:v>
                </c:pt>
                <c:pt idx="8">
                  <c:v>HP</c:v>
                </c:pt>
                <c:pt idx="9">
                  <c:v>Uttarakhand</c:v>
                </c:pt>
                <c:pt idx="10">
                  <c:v>Assam</c:v>
                </c:pt>
                <c:pt idx="11">
                  <c:v>Bihar</c:v>
                </c:pt>
                <c:pt idx="12">
                  <c:v>Chhattisgarh</c:v>
                </c:pt>
                <c:pt idx="13">
                  <c:v>All India</c:v>
                </c:pt>
              </c:strCache>
            </c:strRef>
          </c:cat>
          <c:val>
            <c:numRef>
              <c:f>Sheet2!$B$6:$B$19</c:f>
              <c:numCache>
                <c:formatCode>0.00</c:formatCode>
                <c:ptCount val="14"/>
                <c:pt idx="0">
                  <c:v>83.249621179856632</c:v>
                </c:pt>
                <c:pt idx="1">
                  <c:v>74.981103552532133</c:v>
                </c:pt>
                <c:pt idx="2">
                  <c:v>69.33837353352088</c:v>
                </c:pt>
                <c:pt idx="3">
                  <c:v>67.575107239224707</c:v>
                </c:pt>
                <c:pt idx="4">
                  <c:v>66.070480441133256</c:v>
                </c:pt>
                <c:pt idx="5">
                  <c:v>65.210838032414529</c:v>
                </c:pt>
                <c:pt idx="6">
                  <c:v>64.206925893945126</c:v>
                </c:pt>
                <c:pt idx="7">
                  <c:v>55.994129841412054</c:v>
                </c:pt>
                <c:pt idx="8">
                  <c:v>46.400712922977711</c:v>
                </c:pt>
                <c:pt idx="9">
                  <c:v>45.278836536642054</c:v>
                </c:pt>
                <c:pt idx="10">
                  <c:v>44.131430971525262</c:v>
                </c:pt>
                <c:pt idx="11">
                  <c:v>43.801123269777335</c:v>
                </c:pt>
                <c:pt idx="12">
                  <c:v>41.201297909195148</c:v>
                </c:pt>
                <c:pt idx="13">
                  <c:v>79.092258310287889</c:v>
                </c:pt>
              </c:numCache>
            </c:numRef>
          </c:val>
        </c:ser>
        <c:marker val="1"/>
        <c:axId val="121893632"/>
        <c:axId val="121895936"/>
      </c:lineChart>
      <c:catAx>
        <c:axId val="121893632"/>
        <c:scaling>
          <c:orientation val="minMax"/>
        </c:scaling>
        <c:axPos val="b"/>
        <c:tickLblPos val="nextTo"/>
        <c:txPr>
          <a:bodyPr/>
          <a:lstStyle/>
          <a:p>
            <a:pPr>
              <a:defRPr lang="en-US"/>
            </a:pPr>
            <a:endParaRPr lang="en-US"/>
          </a:p>
        </c:txPr>
        <c:crossAx val="121895936"/>
        <c:crosses val="autoZero"/>
        <c:auto val="1"/>
        <c:lblAlgn val="ctr"/>
        <c:lblOffset val="100"/>
      </c:catAx>
      <c:valAx>
        <c:axId val="121895936"/>
        <c:scaling>
          <c:orientation val="minMax"/>
        </c:scaling>
        <c:axPos val="l"/>
        <c:numFmt formatCode="0.00" sourceLinked="1"/>
        <c:tickLblPos val="nextTo"/>
        <c:txPr>
          <a:bodyPr/>
          <a:lstStyle/>
          <a:p>
            <a:pPr>
              <a:defRPr lang="en-US"/>
            </a:pPr>
            <a:endParaRPr lang="en-US"/>
          </a:p>
        </c:txPr>
        <c:crossAx val="12189363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0.44065</cdr:x>
      <cdr:y>0.88636</cdr:y>
    </cdr:from>
    <cdr:to>
      <cdr:x>0.5942</cdr:x>
      <cdr:y>0.95202</cdr:y>
    </cdr:to>
    <cdr:sp macro="" textlink="">
      <cdr:nvSpPr>
        <cdr:cNvPr id="2" name="TextBox 1"/>
        <cdr:cNvSpPr txBox="1"/>
      </cdr:nvSpPr>
      <cdr:spPr>
        <a:xfrm xmlns:a="http://schemas.openxmlformats.org/drawingml/2006/main">
          <a:off x="2606440" y="3343274"/>
          <a:ext cx="90828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latin typeface="Arial" pitchFamily="34" charset="0"/>
              <a:cs typeface="Arial" pitchFamily="34" charset="0"/>
            </a:rPr>
            <a:t>State</a:t>
          </a:r>
        </a:p>
      </cdr:txBody>
    </cdr:sp>
  </cdr:relSizeAnchor>
  <cdr:relSizeAnchor xmlns:cdr="http://schemas.openxmlformats.org/drawingml/2006/chartDrawing">
    <cdr:from>
      <cdr:x>0.15078</cdr:x>
      <cdr:y>0.43505</cdr:y>
    </cdr:from>
    <cdr:to>
      <cdr:x>0.80006</cdr:x>
      <cdr:y>0.43762</cdr:y>
    </cdr:to>
    <cdr:sp macro="" textlink="">
      <cdr:nvSpPr>
        <cdr:cNvPr id="12" name="Straight Connector 11"/>
        <cdr:cNvSpPr/>
      </cdr:nvSpPr>
      <cdr:spPr>
        <a:xfrm xmlns:a="http://schemas.openxmlformats.org/drawingml/2006/main" flipV="1">
          <a:off x="997707" y="1352556"/>
          <a:ext cx="4296371" cy="7990"/>
        </a:xfrm>
        <a:prstGeom xmlns:a="http://schemas.openxmlformats.org/drawingml/2006/main" prst="line">
          <a:avLst/>
        </a:prstGeom>
        <a:ln xmlns:a="http://schemas.openxmlformats.org/drawingml/2006/main">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0.15049</cdr:x>
      <cdr:y>0.49562</cdr:y>
    </cdr:from>
    <cdr:to>
      <cdr:x>0.78539</cdr:x>
      <cdr:y>0.49604</cdr:y>
    </cdr:to>
    <cdr:sp macro="" textlink="">
      <cdr:nvSpPr>
        <cdr:cNvPr id="14" name="Straight Connector 13"/>
        <cdr:cNvSpPr/>
      </cdr:nvSpPr>
      <cdr:spPr>
        <a:xfrm xmlns:a="http://schemas.openxmlformats.org/drawingml/2006/main">
          <a:off x="890177" y="2251795"/>
          <a:ext cx="3755403" cy="1947"/>
        </a:xfrm>
        <a:prstGeom xmlns:a="http://schemas.openxmlformats.org/drawingml/2006/main" prst="line">
          <a:avLst/>
        </a:prstGeom>
        <a:ln xmlns:a="http://schemas.openxmlformats.org/drawingml/2006/main">
          <a:solidFill>
            <a:schemeClr val="tx2">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0.7365</cdr:x>
      <cdr:y>0.18787</cdr:y>
    </cdr:from>
    <cdr:to>
      <cdr:x>0.90899</cdr:x>
      <cdr:y>0.30777</cdr:y>
    </cdr:to>
    <cdr:sp macro="" textlink="">
      <cdr:nvSpPr>
        <cdr:cNvPr id="18" name="Rectangular Callout 17"/>
        <cdr:cNvSpPr/>
      </cdr:nvSpPr>
      <cdr:spPr>
        <a:xfrm xmlns:a="http://schemas.openxmlformats.org/drawingml/2006/main">
          <a:off x="4872467" y="567230"/>
          <a:ext cx="1141147" cy="362030"/>
        </a:xfrm>
        <a:prstGeom xmlns:a="http://schemas.openxmlformats.org/drawingml/2006/main" prst="wedgeRectCallout">
          <a:avLst>
            <a:gd name="adj1" fmla="val -40437"/>
            <a:gd name="adj2" fmla="val 209345"/>
          </a:avLst>
        </a:prstGeom>
        <a:solidFill xmlns:a="http://schemas.openxmlformats.org/drawingml/2006/main">
          <a:sysClr val="window" lastClr="FFFFFF"/>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State avg  yield</a:t>
          </a:r>
        </a:p>
      </cdr:txBody>
    </cdr:sp>
  </cdr:relSizeAnchor>
  <cdr:relSizeAnchor xmlns:cdr="http://schemas.openxmlformats.org/drawingml/2006/chartDrawing">
    <cdr:from>
      <cdr:x>0.15381</cdr:x>
      <cdr:y>0.18383</cdr:y>
    </cdr:from>
    <cdr:to>
      <cdr:x>0.36604</cdr:x>
      <cdr:y>0.30071</cdr:y>
    </cdr:to>
    <cdr:sp macro="" textlink="">
      <cdr:nvSpPr>
        <cdr:cNvPr id="19" name="Rectangular Callout 18"/>
        <cdr:cNvSpPr/>
      </cdr:nvSpPr>
      <cdr:spPr>
        <a:xfrm xmlns:a="http://schemas.openxmlformats.org/drawingml/2006/main">
          <a:off x="1017751" y="571524"/>
          <a:ext cx="1404354" cy="363376"/>
        </a:xfrm>
        <a:prstGeom xmlns:a="http://schemas.openxmlformats.org/drawingml/2006/main" prst="wedgeRectCallout">
          <a:avLst>
            <a:gd name="adj1" fmla="val 38909"/>
            <a:gd name="adj2" fmla="val 169993"/>
          </a:avLst>
        </a:prstGeom>
        <a:solidFill xmlns:a="http://schemas.openxmlformats.org/drawingml/2006/main">
          <a:sysClr val="window" lastClr="FFFFFF"/>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FLD  avg  yield</a:t>
          </a:r>
        </a:p>
      </cdr:txBody>
    </cdr:sp>
  </cdr:relSizeAnchor>
  <cdr:relSizeAnchor xmlns:cdr="http://schemas.openxmlformats.org/drawingml/2006/chartDrawing">
    <cdr:from>
      <cdr:x>0.02235</cdr:x>
      <cdr:y>0.31043</cdr:y>
    </cdr:from>
    <cdr:to>
      <cdr:x>0.09697</cdr:x>
      <cdr:y>0.55838</cdr:y>
    </cdr:to>
    <cdr:sp macro="" textlink="">
      <cdr:nvSpPr>
        <cdr:cNvPr id="20" name="TextBox 19"/>
        <cdr:cNvSpPr txBox="1"/>
      </cdr:nvSpPr>
      <cdr:spPr>
        <a:xfrm xmlns:a="http://schemas.openxmlformats.org/drawingml/2006/main" rot="16200000">
          <a:off x="20386" y="1064780"/>
          <a:ext cx="748624" cy="4936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latin typeface="Arial" pitchFamily="34" charset="0"/>
              <a:cs typeface="Arial" pitchFamily="34" charset="0"/>
            </a:rPr>
            <a:t>Kg/ha</a:t>
          </a:r>
        </a:p>
      </cdr:txBody>
    </cdr:sp>
  </cdr:relSizeAnchor>
  <cdr:relSizeAnchor xmlns:cdr="http://schemas.openxmlformats.org/drawingml/2006/chartDrawing">
    <cdr:from>
      <cdr:x>0.05636</cdr:x>
      <cdr:y>0.05241</cdr:y>
    </cdr:from>
    <cdr:to>
      <cdr:x>0.92754</cdr:x>
      <cdr:y>0.12998</cdr:y>
    </cdr:to>
    <cdr:sp macro="" textlink="">
      <cdr:nvSpPr>
        <cdr:cNvPr id="21" name="TextBox 20"/>
        <cdr:cNvSpPr txBox="1"/>
      </cdr:nvSpPr>
      <cdr:spPr>
        <a:xfrm xmlns:a="http://schemas.openxmlformats.org/drawingml/2006/main">
          <a:off x="333376" y="238125"/>
          <a:ext cx="5153025" cy="3524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Arial" pitchFamily="34" charset="0"/>
              <a:cs typeface="Arial" pitchFamily="34" charset="0"/>
            </a:rPr>
            <a:t>State wise avg yield</a:t>
          </a:r>
          <a:r>
            <a:rPr lang="en-US" sz="1200" b="1" baseline="0">
              <a:latin typeface="Arial" pitchFamily="34" charset="0"/>
              <a:cs typeface="Arial" pitchFamily="34" charset="0"/>
            </a:rPr>
            <a:t> and FLD avg yield for  the quinquennial  2008-09 to 2012-13 (kg/ha)</a:t>
          </a:r>
          <a:endParaRPr lang="en-US" sz="12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0.43262</cdr:x>
      <cdr:y>0.90576</cdr:y>
    </cdr:from>
    <cdr:to>
      <cdr:x>0.55745</cdr:x>
      <cdr:y>0.98691</cdr:y>
    </cdr:to>
    <cdr:sp macro="" textlink="">
      <cdr:nvSpPr>
        <cdr:cNvPr id="2" name="TextBox 1"/>
        <cdr:cNvSpPr txBox="1"/>
      </cdr:nvSpPr>
      <cdr:spPr>
        <a:xfrm xmlns:a="http://schemas.openxmlformats.org/drawingml/2006/main">
          <a:off x="2905126" y="3295650"/>
          <a:ext cx="838200" cy="2952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Arial" pitchFamily="34" charset="0"/>
              <a:cs typeface="Arial" pitchFamily="34" charset="0"/>
            </a:rPr>
            <a:t>State</a:t>
          </a:r>
        </a:p>
      </cdr:txBody>
    </cdr:sp>
  </cdr:relSizeAnchor>
  <cdr:relSizeAnchor xmlns:cdr="http://schemas.openxmlformats.org/drawingml/2006/chartDrawing">
    <cdr:from>
      <cdr:x>0.01932</cdr:x>
      <cdr:y>0.41094</cdr:y>
    </cdr:from>
    <cdr:to>
      <cdr:x>0.08106</cdr:x>
      <cdr:y>0.60862</cdr:y>
    </cdr:to>
    <cdr:sp macro="" textlink="">
      <cdr:nvSpPr>
        <cdr:cNvPr id="3" name="TextBox 2"/>
        <cdr:cNvSpPr txBox="1"/>
      </cdr:nvSpPr>
      <cdr:spPr>
        <a:xfrm xmlns:a="http://schemas.openxmlformats.org/drawingml/2006/main" rot="16200000">
          <a:off x="0" y="1531030"/>
          <a:ext cx="674082" cy="4145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latin typeface="Arial" pitchFamily="34" charset="0"/>
              <a:cs typeface="Arial" pitchFamily="34" charset="0"/>
            </a:rPr>
            <a:t>Kg/ha</a:t>
          </a:r>
        </a:p>
      </cdr:txBody>
    </cdr:sp>
  </cdr:relSizeAnchor>
  <cdr:relSizeAnchor xmlns:cdr="http://schemas.openxmlformats.org/drawingml/2006/chartDrawing">
    <cdr:from>
      <cdr:x>0.13901</cdr:x>
      <cdr:y>0.61173</cdr:y>
    </cdr:from>
    <cdr:to>
      <cdr:x>0.95461</cdr:x>
      <cdr:y>0.61453</cdr:y>
    </cdr:to>
    <cdr:sp macro="" textlink="">
      <cdr:nvSpPr>
        <cdr:cNvPr id="9" name="Straight Connector 8"/>
        <cdr:cNvSpPr/>
      </cdr:nvSpPr>
      <cdr:spPr>
        <a:xfrm xmlns:a="http://schemas.openxmlformats.org/drawingml/2006/main">
          <a:off x="933451" y="2085975"/>
          <a:ext cx="5476875" cy="9525"/>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0.71963</cdr:x>
      <cdr:y>0.27576</cdr:y>
    </cdr:from>
    <cdr:to>
      <cdr:x>0.89097</cdr:x>
      <cdr:y>0.42121</cdr:y>
    </cdr:to>
    <cdr:sp macro="" textlink="">
      <cdr:nvSpPr>
        <cdr:cNvPr id="5" name="Rectangular Callout 4"/>
        <cdr:cNvSpPr/>
      </cdr:nvSpPr>
      <cdr:spPr>
        <a:xfrm xmlns:a="http://schemas.openxmlformats.org/drawingml/2006/main">
          <a:off x="4400549" y="866775"/>
          <a:ext cx="1047751" cy="457200"/>
        </a:xfrm>
        <a:prstGeom xmlns:a="http://schemas.openxmlformats.org/drawingml/2006/main" prst="wedgeRectCallout">
          <a:avLst>
            <a:gd name="adj1" fmla="val -39242"/>
            <a:gd name="adj2" fmla="val 182346"/>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Country avg. yield gap</a:t>
          </a:r>
        </a:p>
      </cdr:txBody>
    </cdr:sp>
  </cdr:relSizeAnchor>
</c:userShapes>
</file>

<file path=word/drawings/drawing3.xml><?xml version="1.0" encoding="utf-8"?>
<c:userShapes xmlns:c="http://schemas.openxmlformats.org/drawingml/2006/chart">
  <cdr:relSizeAnchor xmlns:cdr="http://schemas.openxmlformats.org/drawingml/2006/chartDrawing">
    <cdr:from>
      <cdr:x>0.38931</cdr:x>
      <cdr:y>0.90419</cdr:y>
    </cdr:from>
    <cdr:to>
      <cdr:x>0.60114</cdr:x>
      <cdr:y>0.96407</cdr:y>
    </cdr:to>
    <cdr:sp macro="" textlink="">
      <cdr:nvSpPr>
        <cdr:cNvPr id="2" name="TextBox 1"/>
        <cdr:cNvSpPr txBox="1"/>
      </cdr:nvSpPr>
      <cdr:spPr>
        <a:xfrm xmlns:a="http://schemas.openxmlformats.org/drawingml/2006/main">
          <a:off x="2017264" y="2876550"/>
          <a:ext cx="1097628"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latin typeface="Arial" pitchFamily="34" charset="0"/>
              <a:cs typeface="Arial" pitchFamily="34" charset="0"/>
            </a:rPr>
            <a:t>State</a:t>
          </a:r>
        </a:p>
      </cdr:txBody>
    </cdr:sp>
  </cdr:relSizeAnchor>
  <cdr:relSizeAnchor xmlns:cdr="http://schemas.openxmlformats.org/drawingml/2006/chartDrawing">
    <cdr:from>
      <cdr:x>0.0306</cdr:x>
      <cdr:y>0.33905</cdr:y>
    </cdr:from>
    <cdr:to>
      <cdr:x>0.107</cdr:x>
      <cdr:y>0.56317</cdr:y>
    </cdr:to>
    <cdr:sp macro="" textlink="">
      <cdr:nvSpPr>
        <cdr:cNvPr id="3" name="TextBox 2"/>
        <cdr:cNvSpPr txBox="1"/>
      </cdr:nvSpPr>
      <cdr:spPr>
        <a:xfrm xmlns:a="http://schemas.openxmlformats.org/drawingml/2006/main" rot="16200000">
          <a:off x="0" y="1237204"/>
          <a:ext cx="712988" cy="3958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latin typeface="Arial" pitchFamily="34" charset="0"/>
              <a:cs typeface="Arial" pitchFamily="34" charset="0"/>
            </a:rPr>
            <a:t>Percent</a:t>
          </a:r>
        </a:p>
      </cdr:txBody>
    </cdr:sp>
  </cdr:relSizeAnchor>
  <cdr:relSizeAnchor xmlns:cdr="http://schemas.openxmlformats.org/drawingml/2006/chartDrawing">
    <cdr:from>
      <cdr:x>0.77847</cdr:x>
      <cdr:y>0.18526</cdr:y>
    </cdr:from>
    <cdr:to>
      <cdr:x>0.91818</cdr:x>
      <cdr:y>0.25287</cdr:y>
    </cdr:to>
    <cdr:sp macro="" textlink="">
      <cdr:nvSpPr>
        <cdr:cNvPr id="4" name="Rectangular Callout 3"/>
        <cdr:cNvSpPr/>
      </cdr:nvSpPr>
      <cdr:spPr>
        <a:xfrm xmlns:a="http://schemas.openxmlformats.org/drawingml/2006/main">
          <a:off x="4893863" y="767616"/>
          <a:ext cx="878287" cy="280134"/>
        </a:xfrm>
        <a:prstGeom xmlns:a="http://schemas.openxmlformats.org/drawingml/2006/main" prst="wedgeRectCallout">
          <a:avLst>
            <a:gd name="adj1" fmla="val -46224"/>
            <a:gd name="adj2" fmla="val 202535"/>
          </a:avLst>
        </a:prstGeom>
        <a:solidFill xmlns:a="http://schemas.openxmlformats.org/drawingml/2006/main">
          <a:sysClr val="window" lastClr="FFFFFF"/>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tx1"/>
              </a:solidFill>
            </a:rPr>
            <a:t>All India</a:t>
          </a:r>
        </a:p>
      </cdr:txBody>
    </cdr:sp>
  </cdr:relSizeAnchor>
  <cdr:relSizeAnchor xmlns:cdr="http://schemas.openxmlformats.org/drawingml/2006/chartDrawing">
    <cdr:from>
      <cdr:x>0.15</cdr:x>
      <cdr:y>0.35862</cdr:y>
    </cdr:from>
    <cdr:to>
      <cdr:x>0.94848</cdr:x>
      <cdr:y>0.36322</cdr:y>
    </cdr:to>
    <cdr:sp macro="" textlink="">
      <cdr:nvSpPr>
        <cdr:cNvPr id="9" name="Straight Connector 8"/>
        <cdr:cNvSpPr/>
      </cdr:nvSpPr>
      <cdr:spPr>
        <a:xfrm xmlns:a="http://schemas.openxmlformats.org/drawingml/2006/main" flipV="1">
          <a:off x="942975" y="1485900"/>
          <a:ext cx="5019675" cy="1905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oilseeds</cp:lastModifiedBy>
  <cp:revision>2</cp:revision>
  <cp:lastPrinted>2015-05-25T10:31:00Z</cp:lastPrinted>
  <dcterms:created xsi:type="dcterms:W3CDTF">2015-07-21T05:39:00Z</dcterms:created>
  <dcterms:modified xsi:type="dcterms:W3CDTF">2015-07-21T05:39:00Z</dcterms:modified>
</cp:coreProperties>
</file>